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 — the regression line captures the average researcher, including small academic releases that drag the trend down, while we have to compete at frontier scale.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 xml:space="preserve">Heat rate is 9,500 BTU/kWh per the RFP — typical of an efficient simple-cycle peaker. West Texas has no tolling option (no gas plant available).</w:t>
      </w:r>
    </w:p>
    <w:p>
      <w:pPr>
        <w:spacing w:after="120"/>
      </w:pPr>
      <w:r>
        <w:t xml:space="preserve">Tolling parameters (currently default-modelled with no fixed surcharge):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variable O&amp;M premium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Scenario.toll_max_mwh_per_day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 (unconstrained)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Daily MWh cap on Houston toll. Empirical brackets in assumptions.py: TOLL_DAILY_CAP_PEAKER=720, _INTERMEDIATE=1500, _NEAR_NAMEPLATE=2280 (anchored to EIA SCGT capacity-factor history). --toll-cap-sweep runs all four on the sweep driver.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TOLL_FIXED_SURCHARGE_PER_MWH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capacity payment (RFP didn't specify)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 xml:space="preserve">Or $6M total if BESS is active at both sites. This fixed cost is excluded from the LP objective directly (it's a constant) but subtracted in `cost_breakdown` so the per-scenario profit numbers reflect it.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 xml:space="preserve">    − BESS_6mo_lease × |bess_sites|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Scenario.toll_max_mwh_per_day (peaker 720 / intermediate 1500 / near-nameplate 2280 — EIA-anchored brackets)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Tokens per request</w:t>
      </w:r>
      <w:r>
        <w:t xml:space="preserve"> — not currently in the model. The RFP requests it; we use a per-MWh tokens conversion instead. Adding it would let us express revenue at the request level (price × requests/hr) rather than the MWh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Scenario.toll_max_mwh_per_day</w:t>
      </w:r>
      <w:r>
        <w:t xml:space="preserve"> — daily MWh cap on Houston tolling. Three empirically-anchored brackets exposed in assumptions.py: peaker (720 MWh/day, 30 % of nameplate × 24 h — matches EIA's 9.6–14.1 % SCGT capacity-factor range), intermediate (1,500 MWh/day, ~63 % — IPP load-following toll convention, recommended headline default), and near-nameplate (2,280 MWh/day, ~95 % — availability-only haircut). --toll-cap-sweep on power_procurement_sweep.py reports marginal toll value as a function of the cap.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Fixed surcharge / capacity payment</w:t>
      </w:r>
      <w:r>
        <w:t xml:space="preserve"> — currently $0/MWh on the variable side and no annual fixed payment. Real tolling contracts typically include both. A non-zero fixed surcharge would change Phase C's decision about whether to sign the contract at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Heat rate</w:t>
      </w:r>
      <w:r>
        <w:t xml:space="preserve"> — currently 9,500 BTU/kWh per the RFP. This is consistent with an efficient simple-cycle peaker; assumed firm.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Lease structure</w:t>
      </w:r>
      <w:r>
        <w:t xml:space="preserve"> — currently $60 M capex amortized over 15 yr + $2 M opex/yr, half-year prorate ⇒ $3 M / site / 6 months. Need confirmation that this is the actual tolling-style lease structure for the prescribed BESS rather than an outright-buy amortization.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Round-trip efficiency</w:t>
      </w:r>
      <w:r>
        <w:t xml:space="preserve"> — currently 92 % (√ on each leg ≈ 0.959). RFP-stated; assumed firm.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actuals. Drift is now a CLI knob (--gas-drift-pct, --power-drift-pct on run_monte_carlo.py / run_planning_doc.py / power_procurement_sweep.py) that adds a log-space shift to each series' long-run mean via monte_carlo.apply_drift(). Baseline 2026 = 0 % both, consistent with EIA May-2026 STEO (HH 2026 forecast $3.50/MMBtu vs 2025 actual $3.53). Geopolitical oil overlay: a +30 % Brent shock translates to gas_drift_pct ≈ 0.06 (Brent→HH elasticity ≈ 0.2 via LNG-pull) and power_drift_pct ≈ 0.03 (HH→LMP elasticity ≈ 0.5 via gas-on-margin pass-through).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— partially covered</w:t>
      </w:r>
    </w:p>
    <w:p>
      <w:pPr>
        <w:spacing w:after="120"/>
      </w:pPr>
      <w:r>
        <w:t xml:space="preserve">The FTG repo (ltemry/FTG-Final-Project) contains `src/phase4_intermittency_stress.py`, which addresses intermittency and tail-risk events indirectly — by reading them out of LMP signatures rather than modelling wind/solar generation directly. We have vendored the OU calibration, MC simulator, AND (as of this revision) the stress-overlay logic from that repo. What's covered vs what's still open: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uri_full (100 h, $5000–9000/MWh + $250/MMBtu gas, p = 0.05). When `run_planning_doc.py --stress &lt;name&gt;` is set, the chosen overlay is applied to a fraction of the MC paths AFTER the OU simulation and BEFORE the LP solve, on both ERCOT hubs simultaneously (system-wide scarcity event). Default is `none`, so headline results are unchanged. Use it as a sensitivity / stress test — expectation is that the toll option's value rises materially under moderate/uri_full.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report)</w:t>
      </w:r>
      <w:r>
        <w:t xml:space="preserve"> — phase 4 in the FTG repo computes diurnal LMP percentile profiles, the evening-ramp premium (hour-18 − hour-14, capturing solar dropoff),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exists, it just isn't a separate module in our codebase yet.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 — still open)</w:t>
      </w:r>
      <w:r>
        <w:t xml:space="preserve"> — distinct from the LMP-signature view above. Our LP currently assumes capacity_factor = 1.0 (full 100 MW/site at every hour). A direct MIHR model would multiply the per-site grid cap by a stochastic capacity_factor[h] ≤ 1 driven by renewables + transmission. Not implemented; phase 4 doesn't do this either (it works on prices, not capacity).</w:t>
      </w:r>
    </w:p>
    <w:p>
      <w:pPr>
        <w:pStyle w:val="Heading1"/>
      </w:pPr>
      <w:r>
        <w:rPr>
          <w:b/>
          <w:bCs/>
        </w:rPr>
        <w:t xml:space="preserve">Data sources and citations</w:t>
      </w:r>
    </w:p>
    <w:p>
      <w:pPr>
        <w:spacing w:after="120"/>
      </w:pPr>
      <w:r>
        <w:t xml:space="preserve">Vendored data files (used directly by the calibration / LP):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data/HH_full.csv - Henry Hub daily spot price ($/MMBtu), EIA Natural Gas Weekly. Source: eia.gov/dnav/ng/hist/rngwhhdD.htm.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data/rpt.00013060.0000000000000000.DAMLZHBSPP_2025.xlsx - ERCOT 2025 Day-Ahead Market hourly settlement-point prices, HB_HOUSTON and HB_WEST. Source: ercot.com (Market Information / DAM SPP report).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data/artificial-intelligence-parameter-count.csv - Epoch AI parameter-count time series. Source: epochai.org (Notable AI Models dataset).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data/ai-training-computation-vs-parameters-by-researcher-affiliation.csv - Epoch AI training-compute vs parameters panel. Source: epochai.org.</w:t>
      </w:r>
    </w:p>
    <w:p>
      <w:pPr>
        <w:spacing w:after="120"/>
      </w:pPr>
      <w:r>
        <w:t xml:space="preserve">External references used to anchor TBD/sensitivity inputs in this report:</w:t>
      </w:r>
    </w:p>
    <w:p>
      <w:pPr>
        <w:pStyle w:val="Heading2"/>
      </w:pPr>
      <w:r>
        <w:rPr>
          <w:b/>
          <w:bCs/>
        </w:rPr>
        <w:t xml:space="preserve">Tolling daily MWh cap (TOLL_DAILY_CAP_PEAKER / INTERMEDIATE / NEAR_NAMEPLATE)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Today in Energy (June 2023) - U.S. simple-cycle natural gas turbines operated at record highs in summer 2022. Anchors the peaker bracket: SCGT fleet annual capacity factor 9.6-14.1% (2017-2023), ~17% summer / ~10% off-season, ERCOT among regions above the national average. </w:t>
      </w:r>
      <w:hyperlink w:history="1" r:id="rIdeoto-rfchbl4zdd0jcjsx">
        <w:r>
          <w:rPr>
            <w:rStyle w:val="Hyperlink"/>
            <w:color w:val="0563C1"/>
            <w:u w:val="single"/>
          </w:rPr>
          <w:t xml:space="preserve">eia.gov/todayinenergy/detail.php?id=55680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Form 923 (plant-level operations data) - net generation and heat input by prime-mover, used to verify the SCGT capacity-factor range above and to derive an MDQ-equivalent envelope. </w:t>
      </w:r>
      <w:hyperlink w:history="1" r:id="rIdniygqhua4hwwshvovszof">
        <w:r>
          <w:rPr>
            <w:rStyle w:val="Hyperlink"/>
            <w:color w:val="0563C1"/>
            <w:u w:val="single"/>
          </w:rPr>
          <w:t xml:space="preserve">eia.gov/electricity/data/eia923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Modo Energy - ERCOT BESS tolling agreement explainer. Establishes that current ERCOT tolling contracts give the offtaker direct dispatch rights over the full asset envelope (near-nameplate convention). </w:t>
      </w:r>
      <w:hyperlink w:history="1" r:id="rId4uaep5ogcrmguj_l8mpqr">
        <w:r>
          <w:rPr>
            <w:rStyle w:val="Hyperlink"/>
            <w:color w:val="0563C1"/>
            <w:u w:val="single"/>
          </w:rPr>
          <w:t xml:space="preserve">modoenergy.com/.../ercot-explainer-part-one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GridStor - Fortune 500 tolling pact for a 150 MW / 350 MWh ERCOT battery (Dec 2025). Recent comparable disclosing contract structure for the near-nameplate bracket. </w:t>
      </w:r>
      <w:hyperlink w:history="1" r:id="rIdwezdslcj01jzdxvd1kgwy">
        <w:r>
          <w:rPr>
            <w:rStyle w:val="Hyperlink"/>
            <w:color w:val="0563C1"/>
            <w:u w:val="single"/>
          </w:rPr>
          <w:t xml:space="preserve">stocktitan.net/.../gridstor-tolling-agreement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Entergy MUCPA - Capacity Sale and Tolling Agreement RFP (template). Reference document showing standard daily-MDQ contract structure for natural-gas-fired tolling. </w:t>
      </w:r>
      <w:hyperlink w:history="1" r:id="rIdov7nt0nsqtdt1qqzsfypc">
        <w:r>
          <w:rPr>
            <w:rStyle w:val="Hyperlink"/>
            <w:color w:val="0563C1"/>
            <w:u w:val="single"/>
          </w:rPr>
          <w:t xml:space="preserve">rfp.entergy.com/.../MUCPA-Tolling.pdf</w:t>
        </w:r>
      </w:hyperlink>
      <w:r>
        <w:t xml:space="preserve"/>
      </w:r>
    </w:p>
    <w:p>
      <w:pPr>
        <w:pStyle w:val="Heading2"/>
      </w:pPr>
      <w:r>
        <w:rPr>
          <w:b/>
          <w:bCs/>
        </w:rPr>
        <w:t xml:space="preserve">Forward-curve drift (--gas-drift-pct / --power-drift-pct)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Short-Term Energy Outlook (May 2026) - natural gas section. Baseline: 2025 actual HH = $3.53/MMBtu, 2026 forecast = $3.50/MMBtu (essentially flat - hence default gas_drift_pct = 0). 2026 LNG export forecast = 17.0 Bcf/d (up from 15.1 in 2025), near peak export-complex capacity. </w:t>
      </w:r>
      <w:hyperlink w:history="1" r:id="rIdefrowel-yzv9qi0vyipod">
        <w:r>
          <w:rPr>
            <w:rStyle w:val="Hyperlink"/>
            <w:color w:val="0563C1"/>
            <w:u w:val="single"/>
          </w:rPr>
          <w:t xml:space="preserve">eia.gov/outlooks/steo/report/natgas.php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STEO May 2026 (full PDF) - the primary source for the Brent forecast that drives the geopolitical-shock overlay. Reports Brent $106/b May-Jun 2026 and $115/b 2Q peak amid Strait of Hormuz disruption; ~10.5 Mbbl/d of Mideast production shut-in. </w:t>
      </w:r>
      <w:hyperlink w:history="1" r:id="rIdx-avvcewhbkfnnsq8e_u9">
        <w:r>
          <w:rPr>
            <w:rStyle w:val="Hyperlink"/>
            <w:color w:val="0563C1"/>
            <w:u w:val="single"/>
          </w:rPr>
          <w:t xml:space="preserve">eia.gov/outlooks/steo/pdf/steo_full.pdf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Today in Energy - Henry Hub spot prices to fall slightly in 2026, rise in 2027. Confirms the EIA's view that higher 2026 Brent supports associated-gas production (bearish HH), partially offsetting the LNG-pull (bullish HH) channel. </w:t>
      </w:r>
      <w:hyperlink w:history="1" r:id="rIdmoeg6bm1jxwjucaiohcqt">
        <w:r>
          <w:rPr>
            <w:rStyle w:val="Hyperlink"/>
            <w:color w:val="0563C1"/>
            <w:u w:val="single"/>
          </w:rPr>
          <w:t xml:space="preserve">eia.gov/todayinenergy/detail.php?id=67004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EIA Press Release (May 12, 2026) - STEO revision amid continued Mideast disruption. Quantifies the Hormuz-closure assumption (closed until late May, shipping resumes June) used to size the +30% Brent shock scenario. </w:t>
      </w:r>
      <w:hyperlink w:history="1" r:id="rIdsrc3eoxyq37tvxwiqizcd">
        <w:r>
          <w:rPr>
            <w:rStyle w:val="Hyperlink"/>
            <w:color w:val="0563C1"/>
            <w:u w:val="single"/>
          </w:rPr>
          <w:t xml:space="preserve">eia.gov/pressroom/releases/press588.php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Rigzone (May 20, 2026) - EIA lowers Henry Hub forecast for 2026, 2027. Documents the May-vs-April STEO revision ($3.67 -&gt; $3.50/MMBtu) - useful for justifying baseline gas_drift_pct = 0 against a contemporaneous-news critique. </w:t>
      </w:r>
      <w:hyperlink w:history="1" r:id="rIdcjeqwmq95jeoit7-es_25">
        <w:r>
          <w:rPr>
            <w:rStyle w:val="Hyperlink"/>
            <w:color w:val="0563C1"/>
            <w:u w:val="single"/>
          </w:rPr>
          <w:t xml:space="preserve">rigzone.com/.../usa-eia-lowers-henry-hub-price-forecast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S&amp;P Global - Texas summer 2025 power prices may top 2024 on weather and strong gas. Anchors the HH -&gt; ERCOT LMP elasticity: Houston Ship Channel summer forwards ~$4/MMBtu (vs ~$2 in 2024) coincided with ERCOT Houston on-peak forwards $110-167/MWh (vs DAM $30-40/MWh in 2024). </w:t>
      </w:r>
      <w:hyperlink w:history="1" r:id="rIdstighhzzaq4-ym8btuqcj">
        <w:r>
          <w:rPr>
            <w:rStyle w:val="Hyperlink"/>
            <w:color w:val="0563C1"/>
            <w:u w:val="single"/>
          </w:rPr>
          <w:t xml:space="preserve">spglobal.com/.../texas-summer-power-prices-2025</w:t>
        </w:r>
      </w:hyperlink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Potomac Economics - 2024 State of the Market Report for ERCOT. Source for implied heat-rate ranges (Figure 7) used to derive the HH-&gt;LMP pass-through elasticity (~0.5 in gas-on-margin hours). </w:t>
      </w:r>
      <w:hyperlink w:history="1" r:id="rId7bhgbds5x6f09do-u1suv">
        <w:r>
          <w:rPr>
            <w:rStyle w:val="Hyperlink"/>
            <w:color w:val="0563C1"/>
            <w:u w:val="single"/>
          </w:rPr>
          <w:t xml:space="preserve">potomaceconomics.com/.../2024-State-of-the-Market-Report.pdf</w:t>
        </w:r>
      </w:hyperlink>
      <w:r>
        <w:t xml:space="preserve"/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oto-rfchbl4zdd0jcjsx" Type="http://schemas.openxmlformats.org/officeDocument/2006/relationships/hyperlink" Target="https://www.eia.gov/todayinenergy/detail.php?id=55680" TargetMode="External"/><Relationship Id="rIdniygqhua4hwwshvovszof" Type="http://schemas.openxmlformats.org/officeDocument/2006/relationships/hyperlink" Target="https://www.eia.gov/electricity/data/eia923/" TargetMode="External"/><Relationship Id="rId4uaep5ogcrmguj_l8mpqr" Type="http://schemas.openxmlformats.org/officeDocument/2006/relationships/hyperlink" Target="https://modoenergy.com/research/en/battery-bess-offtake-tolling-agreements-route-market-contracts-ercot-explainer-part-one" TargetMode="External"/><Relationship Id="rIdwezdslcj01jzdxvd1kgwy" Type="http://schemas.openxmlformats.org/officeDocument/2006/relationships/hyperlink" Target="https://www.stocktitan.net/news/GS/grid-stor-announces-tolling-agreement-and-start-of-construction-for-86v9on13jxdv.html" TargetMode="External"/><Relationship Id="rIdov7nt0nsqtdt1qqzsfypc" Type="http://schemas.openxmlformats.org/officeDocument/2006/relationships/hyperlink" Target="https://rfp.entergy.com/entrfp/send/Final%20RFP%20MUCPA%20-%20Tolling.pdf" TargetMode="External"/><Relationship Id="rIdefrowel-yzv9qi0vyipod" Type="http://schemas.openxmlformats.org/officeDocument/2006/relationships/hyperlink" Target="https://www.eia.gov/outlooks/steo/report/natgas.php" TargetMode="External"/><Relationship Id="rIdx-avvcewhbkfnnsq8e_u9" Type="http://schemas.openxmlformats.org/officeDocument/2006/relationships/hyperlink" Target="https://www.eia.gov/outlooks/steo/pdf/steo_full.pdf" TargetMode="External"/><Relationship Id="rIdmoeg6bm1jxwjucaiohcqt" Type="http://schemas.openxmlformats.org/officeDocument/2006/relationships/hyperlink" Target="https://www.eia.gov/todayinenergy/detail.php?id=67004" TargetMode="External"/><Relationship Id="rIdsrc3eoxyq37tvxwiqizcd" Type="http://schemas.openxmlformats.org/officeDocument/2006/relationships/hyperlink" Target="https://www.eia.gov/pressroom/releases/press588.php" TargetMode="External"/><Relationship Id="rIdcjeqwmq95jeoit7-es_25" Type="http://schemas.openxmlformats.org/officeDocument/2006/relationships/hyperlink" Target="https://www.rigzone.com/news/usa_eia_lowers_henry_hub_price_forecast_for_2026_2027-20-may-2026-183738-article/" TargetMode="External"/><Relationship Id="rIdstighhzzaq4-ym8btuqcj" Type="http://schemas.openxmlformats.org/officeDocument/2006/relationships/hyperlink" Target="https://www.spglobal.com/energy/en/news-research/latest-news/electric-power/042325-outlook-2025-texas-summer-power-prices-may-top-2024-levels-on-weather-strong-gas" TargetMode="External"/><Relationship Id="rId7bhgbds5x6f09do-u1suv" Type="http://schemas.openxmlformats.org/officeDocument/2006/relationships/hyperlink" Target="https://www.potomaceconomics.com/wp-content/uploads/2025/06/2024-State-of-the-Market-Report.pdf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2026-05-21T04:00:40.534Z</dcterms:created>
  <dcterms:modified xsi:type="dcterms:W3CDTF">2026-05-21T04:00:40.535Z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