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0"/>
        </w:rPr>
        <w:t>Revenue Inference Model Assumptions</w:t>
      </w:r>
    </w:p>
    <w:p>
      <w:pPr>
        <w:spacing w:after="200"/>
      </w:pPr>
      <w:r>
        <w:rPr>
          <w:i/>
        </w:rPr>
        <w:t>Token-price decay half-life and per-release quality multiplier</w:t>
      </w:r>
    </w:p>
    <w:p>
      <w:pPr>
        <w:spacing w:after="240"/>
      </w:pPr>
      <w:r>
        <w:rPr>
          <w:b/>
        </w:rPr>
        <w:t>Prepared: May 23, 2026</w:t>
      </w:r>
    </w:p>
    <w:p>
      <w:pPr>
        <w:pStyle w:val="Heading1"/>
      </w:pPr>
      <w:r>
        <w:t>Executive Summary</w:t>
      </w:r>
    </w:p>
    <w:tbl>
      <w:tblPr>
        <w:tblStyle w:val="TableGrid"/>
        <w:tblW w:type="auto" w:w="0"/>
        <w:jc w:val="center"/>
        <w:tblLayout w:type="fixed"/>
        <w:tblLook w:firstColumn="1" w:firstRow="1" w:lastColumn="0" w:lastRow="0" w:noHBand="0" w:noVBand="1" w:val="04A0"/>
      </w:tblPr>
      <w:tblGrid>
        <w:gridCol w:w="1944"/>
        <w:gridCol w:w="1872"/>
        <w:gridCol w:w="2088"/>
        <w:gridCol w:w="3456"/>
      </w:tblGrid>
      <w:tr>
        <w:tc>
          <w:tcPr>
            <w:tcW w:type="dxa" w:w="2340"/>
            <w:vAlign w:val="center"/>
            <w:shd w:fill="F2F4F7"/>
          </w:tcPr>
          <w:p>
            <w:pPr>
              <w:spacing w:after="0" w:line="252" w:lineRule="auto"/>
              <w:jc w:val="left"/>
            </w:pPr>
            <w:r/>
            <w:r>
              <w:rPr>
                <w:rFonts w:ascii="Calibri" w:hAnsi="Calibri"/>
                <w:b/>
                <w:sz w:val="18"/>
              </w:rPr>
              <w:t>Assumption</w:t>
            </w:r>
          </w:p>
        </w:tc>
        <w:tc>
          <w:tcPr>
            <w:tcW w:type="dxa" w:w="2340"/>
            <w:vAlign w:val="center"/>
            <w:shd w:fill="F2F4F7"/>
          </w:tcPr>
          <w:p>
            <w:pPr>
              <w:spacing w:after="0" w:line="252" w:lineRule="auto"/>
              <w:jc w:val="left"/>
            </w:pPr>
            <w:r/>
            <w:r>
              <w:rPr>
                <w:rFonts w:ascii="Calibri" w:hAnsi="Calibri"/>
                <w:b/>
                <w:sz w:val="18"/>
              </w:rPr>
              <w:t>Recommended base</w:t>
            </w:r>
          </w:p>
        </w:tc>
        <w:tc>
          <w:tcPr>
            <w:tcW w:type="dxa" w:w="2340"/>
            <w:vAlign w:val="center"/>
            <w:shd w:fill="F2F4F7"/>
          </w:tcPr>
          <w:p>
            <w:pPr>
              <w:spacing w:after="0" w:line="252" w:lineRule="auto"/>
              <w:jc w:val="left"/>
            </w:pPr>
            <w:r/>
            <w:r>
              <w:rPr>
                <w:rFonts w:ascii="Calibri" w:hAnsi="Calibri"/>
                <w:b/>
                <w:sz w:val="18"/>
              </w:rPr>
              <w:t>Sensitivity / distribution</w:t>
            </w:r>
          </w:p>
        </w:tc>
        <w:tc>
          <w:tcPr>
            <w:tcW w:type="dxa" w:w="2340"/>
            <w:vAlign w:val="center"/>
            <w:shd w:fill="F2F4F7"/>
          </w:tcPr>
          <w:p>
            <w:pPr>
              <w:spacing w:after="0" w:line="252" w:lineRule="auto"/>
              <w:jc w:val="left"/>
            </w:pPr>
            <w:r/>
            <w:r>
              <w:rPr>
                <w:rFonts w:ascii="Calibri" w:hAnsi="Calibri"/>
                <w:b/>
                <w:sz w:val="18"/>
              </w:rPr>
              <w:t>Basis</w:t>
            </w:r>
          </w:p>
        </w:tc>
      </w:tr>
      <w:tr>
        <w:tc>
          <w:tcPr>
            <w:tcW w:type="dxa" w:w="1944"/>
            <w:vAlign w:val="center"/>
          </w:tcPr>
          <w:p>
            <w:pPr>
              <w:spacing w:after="0" w:line="252" w:lineRule="auto"/>
              <w:jc w:val="left"/>
            </w:pPr>
            <w:r/>
            <w:r>
              <w:rPr>
                <w:rFonts w:ascii="Calibri" w:hAnsi="Calibri"/>
                <w:b w:val="0"/>
                <w:sz w:val="18"/>
              </w:rPr>
              <w:t>Revenue pricing model</w:t>
            </w:r>
          </w:p>
        </w:tc>
        <w:tc>
          <w:tcPr>
            <w:tcW w:type="dxa" w:w="1872"/>
            <w:vAlign w:val="center"/>
          </w:tcPr>
          <w:p>
            <w:pPr>
              <w:spacing w:after="0" w:line="252" w:lineRule="auto"/>
              <w:jc w:val="left"/>
            </w:pPr>
            <w:r/>
            <w:r>
              <w:rPr>
                <w:rFonts w:ascii="Calibri" w:hAnsi="Calibri"/>
                <w:b w:val="0"/>
                <w:sz w:val="18"/>
              </w:rPr>
              <w:t>GPT-5.4 Pro daily OpenAI prices</w:t>
            </w:r>
          </w:p>
        </w:tc>
        <w:tc>
          <w:tcPr>
            <w:tcW w:type="dxa" w:w="2088"/>
            <w:vAlign w:val="center"/>
          </w:tcPr>
          <w:p>
            <w:pPr>
              <w:spacing w:after="0" w:line="252" w:lineRule="auto"/>
              <w:jc w:val="left"/>
            </w:pPr>
            <w:r/>
            <w:r>
              <w:rPr>
                <w:rFonts w:ascii="Calibri" w:hAnsi="Calibri"/>
                <w:b w:val="0"/>
                <w:sz w:val="18"/>
              </w:rPr>
              <w:t>Standard / Batch-Flex / Priority / Long-context / Regional</w:t>
            </w:r>
          </w:p>
        </w:tc>
        <w:tc>
          <w:tcPr>
            <w:tcW w:type="dxa" w:w="3456"/>
            <w:vAlign w:val="center"/>
          </w:tcPr>
          <w:p>
            <w:pPr>
              <w:spacing w:after="0" w:line="252" w:lineRule="auto"/>
              <w:jc w:val="left"/>
            </w:pPr>
            <w:r/>
            <w:r>
              <w:rPr>
                <w:rFonts w:ascii="Calibri" w:hAnsi="Calibri"/>
                <w:b w:val="0"/>
                <w:sz w:val="18"/>
              </w:rPr>
              <w:t>Per request: assume only frontier models priced identically to OpenAI gpt-5.4-pro. Current standard price is $30/M input and $180/M output, giving an $80/M blended revenue price at a 2/3 input and 1/3 output mix.</w:t>
            </w:r>
          </w:p>
        </w:tc>
      </w:tr>
      <w:tr>
        <w:tc>
          <w:tcPr>
            <w:tcW w:type="dxa" w:w="1944"/>
            <w:vAlign w:val="center"/>
          </w:tcPr>
          <w:p>
            <w:pPr>
              <w:spacing w:after="0" w:line="252" w:lineRule="auto"/>
              <w:jc w:val="left"/>
            </w:pPr>
            <w:r/>
            <w:r>
              <w:rPr>
                <w:rFonts w:ascii="Calibri" w:hAnsi="Calibri"/>
                <w:b w:val="0"/>
                <w:sz w:val="18"/>
              </w:rPr>
              <w:t>Revenue capacity</w:t>
            </w:r>
          </w:p>
        </w:tc>
        <w:tc>
          <w:tcPr>
            <w:tcW w:type="dxa" w:w="1872"/>
            <w:vAlign w:val="center"/>
          </w:tcPr>
          <w:p>
            <w:pPr>
              <w:spacing w:after="0" w:line="252" w:lineRule="auto"/>
              <w:jc w:val="left"/>
            </w:pPr>
            <w:r/>
            <w:r>
              <w:rPr>
                <w:rFonts w:ascii="Calibri" w:hAnsi="Calibri"/>
                <w:b w:val="0"/>
                <w:sz w:val="18"/>
              </w:rPr>
              <w:t>Use all non-training capacity</w:t>
            </w:r>
          </w:p>
        </w:tc>
        <w:tc>
          <w:tcPr>
            <w:tcW w:type="dxa" w:w="2088"/>
            <w:vAlign w:val="center"/>
          </w:tcPr>
          <w:p>
            <w:pPr>
              <w:spacing w:after="0" w:line="252" w:lineRule="auto"/>
              <w:jc w:val="left"/>
            </w:pPr>
            <w:r/>
            <w:r>
              <w:rPr>
                <w:rFonts w:ascii="Calibri" w:hAnsi="Calibri"/>
                <w:b w:val="0"/>
                <w:sz w:val="18"/>
              </w:rPr>
              <w:t>Constrained by daily training allocation</w:t>
            </w:r>
          </w:p>
        </w:tc>
        <w:tc>
          <w:tcPr>
            <w:tcW w:type="dxa" w:w="3456"/>
            <w:vAlign w:val="center"/>
          </w:tcPr>
          <w:p>
            <w:pPr>
              <w:spacing w:after="0" w:line="252" w:lineRule="auto"/>
              <w:jc w:val="left"/>
            </w:pPr>
            <w:r/>
            <w:r>
              <w:rPr>
                <w:rFonts w:ascii="Calibri" w:hAnsi="Calibri"/>
                <w:b w:val="0"/>
                <w:sz w:val="18"/>
              </w:rPr>
              <w:t>Revenue capacity equals total daily capacity minus the capacity allocated to training, floored at zero.</w:t>
            </w:r>
          </w:p>
        </w:tc>
      </w:tr>
      <w:tr>
        <w:tc>
          <w:tcPr>
            <w:tcW w:type="dxa" w:w="1944"/>
            <w:vAlign w:val="center"/>
          </w:tcPr>
          <w:p>
            <w:pPr>
              <w:spacing w:after="0" w:line="252" w:lineRule="auto"/>
              <w:jc w:val="left"/>
            </w:pPr>
            <w:r/>
            <w:r>
              <w:rPr>
                <w:rFonts w:ascii="Calibri" w:hAnsi="Calibri"/>
                <w:b w:val="0"/>
                <w:sz w:val="18"/>
              </w:rPr>
              <w:t>Token-price decay half-life</w:t>
            </w:r>
          </w:p>
        </w:tc>
        <w:tc>
          <w:tcPr>
            <w:tcW w:type="dxa" w:w="1872"/>
            <w:vAlign w:val="center"/>
          </w:tcPr>
          <w:p>
            <w:pPr>
              <w:spacing w:after="0" w:line="252" w:lineRule="auto"/>
              <w:jc w:val="left"/>
            </w:pPr>
            <w:r/>
            <w:r>
              <w:rPr>
                <w:rFonts w:ascii="Calibri" w:hAnsi="Calibri"/>
                <w:b w:val="0"/>
                <w:sz w:val="18"/>
              </w:rPr>
              <w:t>60 days</w:t>
            </w:r>
          </w:p>
        </w:tc>
        <w:tc>
          <w:tcPr>
            <w:tcW w:type="dxa" w:w="2088"/>
            <w:vAlign w:val="center"/>
          </w:tcPr>
          <w:p>
            <w:pPr>
              <w:spacing w:after="0" w:line="252" w:lineRule="auto"/>
              <w:jc w:val="left"/>
            </w:pPr>
            <w:r/>
            <w:r>
              <w:rPr>
                <w:rFonts w:ascii="Calibri" w:hAnsi="Calibri"/>
                <w:b w:val="0"/>
                <w:sz w:val="18"/>
              </w:rPr>
              <w:t>30 / 45 / 60 / 90 / 120 days</w:t>
            </w:r>
          </w:p>
        </w:tc>
        <w:tc>
          <w:tcPr>
            <w:tcW w:type="dxa" w:w="3456"/>
            <w:vAlign w:val="center"/>
          </w:tcPr>
          <w:p>
            <w:pPr>
              <w:spacing w:after="0" w:line="252" w:lineRule="auto"/>
              <w:jc w:val="left"/>
            </w:pPr>
            <w:r/>
            <w:r>
              <w:rPr>
                <w:rFonts w:ascii="Calibri" w:hAnsi="Calibri"/>
                <w:b w:val="0"/>
                <w:sz w:val="18"/>
              </w:rPr>
              <w:t>Frontier launch-price transitions imply a median around 53 days and mean around 73 days when interpreted as competitive frontier price-envelope decay. OpenRouter usage data suggests high switching elasticity for API users, supporting the shorter scenarios.</w:t>
            </w:r>
          </w:p>
        </w:tc>
      </w:tr>
      <w:tr>
        <w:tc>
          <w:tcPr>
            <w:tcW w:type="dxa" w:w="1944"/>
            <w:vAlign w:val="center"/>
          </w:tcPr>
          <w:p>
            <w:pPr>
              <w:spacing w:after="0" w:line="252" w:lineRule="auto"/>
              <w:jc w:val="left"/>
            </w:pPr>
            <w:r/>
            <w:r>
              <w:rPr>
                <w:rFonts w:ascii="Calibri" w:hAnsi="Calibri"/>
                <w:b w:val="0"/>
                <w:sz w:val="18"/>
              </w:rPr>
              <w:t>Distributional half-life</w:t>
            </w:r>
          </w:p>
        </w:tc>
        <w:tc>
          <w:tcPr>
            <w:tcW w:type="dxa" w:w="1872"/>
            <w:vAlign w:val="center"/>
          </w:tcPr>
          <w:p>
            <w:pPr>
              <w:spacing w:after="0" w:line="252" w:lineRule="auto"/>
              <w:jc w:val="left"/>
            </w:pPr>
            <w:r/>
            <w:r>
              <w:rPr>
                <w:rFonts w:ascii="Calibri" w:hAnsi="Calibri"/>
                <w:b w:val="0"/>
                <w:sz w:val="18"/>
              </w:rPr>
              <w:t>LogNormal median 60 days; p10 35; p90 120</w:t>
            </w:r>
          </w:p>
        </w:tc>
        <w:tc>
          <w:tcPr>
            <w:tcW w:type="dxa" w:w="2088"/>
            <w:vAlign w:val="center"/>
          </w:tcPr>
          <w:p>
            <w:pPr>
              <w:spacing w:after="0" w:line="252" w:lineRule="auto"/>
              <w:jc w:val="left"/>
            </w:pPr>
            <w:r/>
            <w:r>
              <w:rPr>
                <w:rFonts w:ascii="Calibri" w:hAnsi="Calibri"/>
                <w:b w:val="0"/>
                <w:sz w:val="18"/>
              </w:rPr>
              <w:t>Use when Monte Carlo/simulation is available</w:t>
            </w:r>
          </w:p>
        </w:tc>
        <w:tc>
          <w:tcPr>
            <w:tcW w:type="dxa" w:w="3456"/>
            <w:vAlign w:val="center"/>
          </w:tcPr>
          <w:p>
            <w:pPr>
              <w:spacing w:after="0" w:line="252" w:lineRule="auto"/>
              <w:jc w:val="left"/>
            </w:pPr>
            <w:r/>
            <w:r>
              <w:rPr>
                <w:rFonts w:ascii="Calibri" w:hAnsi="Calibri"/>
                <w:b w:val="0"/>
                <w:sz w:val="18"/>
              </w:rPr>
              <w:t>Captures fast developer/API switching at the low end and sticky enterprise adoption at the high end.</w:t>
            </w:r>
          </w:p>
        </w:tc>
      </w:tr>
      <w:tr>
        <w:tc>
          <w:tcPr>
            <w:tcW w:type="dxa" w:w="1944"/>
            <w:vAlign w:val="center"/>
          </w:tcPr>
          <w:p>
            <w:pPr>
              <w:spacing w:after="0" w:line="252" w:lineRule="auto"/>
              <w:jc w:val="left"/>
            </w:pPr>
            <w:r/>
            <w:r>
              <w:rPr>
                <w:rFonts w:ascii="Calibri" w:hAnsi="Calibri"/>
                <w:b w:val="0"/>
                <w:sz w:val="18"/>
              </w:rPr>
              <w:t>Per-release quality multiplier</w:t>
            </w:r>
          </w:p>
        </w:tc>
        <w:tc>
          <w:tcPr>
            <w:tcW w:type="dxa" w:w="1872"/>
            <w:vAlign w:val="center"/>
          </w:tcPr>
          <w:p>
            <w:pPr>
              <w:spacing w:after="0" w:line="252" w:lineRule="auto"/>
              <w:jc w:val="left"/>
            </w:pPr>
            <w:r/>
            <w:r>
              <w:rPr>
                <w:rFonts w:ascii="Calibri" w:hAnsi="Calibri"/>
                <w:b w:val="0"/>
                <w:sz w:val="18"/>
              </w:rPr>
              <w:t>1.25x</w:t>
            </w:r>
          </w:p>
        </w:tc>
        <w:tc>
          <w:tcPr>
            <w:tcW w:type="dxa" w:w="2088"/>
            <w:vAlign w:val="center"/>
          </w:tcPr>
          <w:p>
            <w:pPr>
              <w:spacing w:after="0" w:line="252" w:lineRule="auto"/>
              <w:jc w:val="left"/>
            </w:pPr>
            <w:r/>
            <w:r>
              <w:rPr>
                <w:rFonts w:ascii="Calibri" w:hAnsi="Calibri"/>
                <w:b w:val="0"/>
                <w:sz w:val="18"/>
              </w:rPr>
              <w:t>1.10 / 1.25 / 1.50 / 1.80</w:t>
            </w:r>
          </w:p>
        </w:tc>
        <w:tc>
          <w:tcPr>
            <w:tcW w:type="dxa" w:w="3456"/>
            <w:vAlign w:val="center"/>
          </w:tcPr>
          <w:p>
            <w:pPr>
              <w:spacing w:after="0" w:line="252" w:lineRule="auto"/>
              <w:jc w:val="left"/>
            </w:pPr>
            <w:r/>
            <w:r>
              <w:rPr>
                <w:rFonts w:ascii="Calibri" w:hAnsi="Calibri"/>
                <w:b w:val="0"/>
                <w:sz w:val="18"/>
              </w:rPr>
              <w:t>Benchmark deltas for broad document-style tasks imply smaller gains than 1.5x. Keep 1.5x as the aggressive case for coding, agentic, and reasoning-heavy workloads.</w:t>
            </w:r>
          </w:p>
        </w:tc>
      </w:tr>
      <w:tr>
        <w:tc>
          <w:tcPr>
            <w:tcW w:type="dxa" w:w="1944"/>
            <w:vAlign w:val="center"/>
          </w:tcPr>
          <w:p>
            <w:pPr>
              <w:spacing w:after="0" w:line="252" w:lineRule="auto"/>
              <w:jc w:val="left"/>
            </w:pPr>
            <w:r/>
            <w:r>
              <w:rPr>
                <w:rFonts w:ascii="Calibri" w:hAnsi="Calibri"/>
                <w:b w:val="0"/>
                <w:sz w:val="18"/>
              </w:rPr>
              <w:t>Distributional quality uplift</w:t>
            </w:r>
          </w:p>
        </w:tc>
        <w:tc>
          <w:tcPr>
            <w:tcW w:type="dxa" w:w="1872"/>
            <w:vAlign w:val="center"/>
          </w:tcPr>
          <w:p>
            <w:pPr>
              <w:spacing w:after="0" w:line="252" w:lineRule="auto"/>
              <w:jc w:val="left"/>
            </w:pPr>
            <w:r/>
            <w:r>
              <w:rPr>
                <w:rFonts w:ascii="Calibri" w:hAnsi="Calibri"/>
                <w:b w:val="0"/>
                <w:sz w:val="18"/>
              </w:rPr>
              <w:t>LogNormal median 1.25; p10 1.08; p90 1.65</w:t>
            </w:r>
          </w:p>
        </w:tc>
        <w:tc>
          <w:tcPr>
            <w:tcW w:type="dxa" w:w="2088"/>
            <w:vAlign w:val="center"/>
          </w:tcPr>
          <w:p>
            <w:pPr>
              <w:spacing w:after="0" w:line="252" w:lineRule="auto"/>
              <w:jc w:val="left"/>
            </w:pPr>
            <w:r/>
            <w:r>
              <w:rPr>
                <w:rFonts w:ascii="Calibri" w:hAnsi="Calibri"/>
                <w:b w:val="0"/>
                <w:sz w:val="18"/>
              </w:rPr>
              <w:t>Use when release quality uncertainty should be sampled</w:t>
            </w:r>
          </w:p>
        </w:tc>
        <w:tc>
          <w:tcPr>
            <w:tcW w:type="dxa" w:w="3456"/>
            <w:vAlign w:val="center"/>
          </w:tcPr>
          <w:p>
            <w:pPr>
              <w:spacing w:after="0" w:line="252" w:lineRule="auto"/>
              <w:jc w:val="left"/>
            </w:pPr>
            <w:r/>
            <w:r>
              <w:rPr>
                <w:rFonts w:ascii="Calibri" w:hAnsi="Calibri"/>
                <w:b w:val="0"/>
                <w:sz w:val="18"/>
              </w:rPr>
              <w:t>Reflects modest gains on saturated general benchmarks and larger gains for reasoning/coding releases.</w:t>
            </w:r>
          </w:p>
        </w:tc>
      </w:tr>
    </w:tbl>
    <w:p/>
    <w:p>
      <w:pPr>
        <w:pStyle w:val="Heading1"/>
      </w:pPr>
      <w:r>
        <w:t>Recommended Assumptions</w:t>
      </w:r>
    </w:p>
    <w:p>
      <w:pPr>
        <w:pStyle w:val="ListBullet"/>
        <w:spacing w:after="80"/>
      </w:pPr>
      <w:r>
        <w:t>Price monetized inference tokens at OpenAI gpt-5.4-pro daily prices, not at a market-basket average.</w:t>
      </w:r>
    </w:p>
    <w:p>
      <w:pPr>
        <w:pStyle w:val="ListBullet"/>
        <w:spacing w:after="80"/>
      </w:pPr>
      <w:r>
        <w:t>Use a revenue token mix of 2/3 input tokens and 1/3 output tokens.</w:t>
      </w:r>
    </w:p>
    <w:p>
      <w:pPr>
        <w:pStyle w:val="ListBullet"/>
        <w:spacing w:after="80"/>
      </w:pPr>
      <w:r>
        <w:t>At current standard GPT-5.4 Pro pricing of $30/M input and $180/M output, use $80/M served tokens as the blended revenue price.</w:t>
      </w:r>
    </w:p>
    <w:p>
      <w:pPr>
        <w:pStyle w:val="ListBullet"/>
        <w:spacing w:after="80"/>
      </w:pPr>
      <w:r>
        <w:t>Use all capacity not allocated to training: revenue capacity equals total capacity minus training allocation.</w:t>
      </w:r>
    </w:p>
    <w:p>
      <w:pPr>
        <w:pStyle w:val="ListBullet"/>
        <w:spacing w:after="80"/>
      </w:pPr>
      <w:r>
        <w:t>Use 60 days as the default token-price decay half-life.</w:t>
      </w:r>
    </w:p>
    <w:p>
      <w:pPr>
        <w:pStyle w:val="ListBullet"/>
        <w:spacing w:after="80"/>
      </w:pPr>
      <w:r>
        <w:t>Interpret the 60-day value as competitive frontier price-envelope decay, not same-vendor list-price decay.</w:t>
      </w:r>
    </w:p>
    <w:p>
      <w:pPr>
        <w:pStyle w:val="ListBullet"/>
        <w:spacing w:after="80"/>
      </w:pPr>
      <w:r>
        <w:t>Keep the existing half-life sensitivity grid: 30, 45, 60, 90, and 120 days.</w:t>
      </w:r>
    </w:p>
    <w:p>
      <w:pPr>
        <w:pStyle w:val="ListBullet"/>
        <w:spacing w:after="80"/>
      </w:pPr>
      <w:r>
        <w:t>Use 1.25x as the base per-release quality multiplier for general document/revenue modeling.</w:t>
      </w:r>
    </w:p>
    <w:p>
      <w:pPr>
        <w:pStyle w:val="ListBullet"/>
        <w:spacing w:after="80"/>
      </w:pPr>
      <w:r>
        <w:t>Keep 1.5x as an aggressive sensitivity case, especially for coding, agentic, and reasoning-heavy workflows.</w:t>
      </w:r>
    </w:p>
    <w:p>
      <w:pPr>
        <w:pStyle w:val="Heading1"/>
      </w:pPr>
      <w:r>
        <w:t>What The Assumptions Are Based On</w:t>
      </w:r>
    </w:p>
    <w:p>
      <w:r>
        <w:t>The updated revenue assumption is based on the explicit modeling instruction to price all frontier inference identically to OpenAI GPT-5.4 Pro daily prices. OpenAI lists gpt-5.4-pro at $30 per 1M input tokens and $180 per 1M output tokens. With the requested revenue stream mix of 2/3 input and 1/3 output tokens, the current standard blended revenue price is $80 per 1M served tokens.</w:t>
      </w:r>
    </w:p>
    <w:p>
      <w:r>
        <w:t>The pricing data uses launch-date token prices for frontier or frontier-adjacent models from OpenAI, Anthropic, and Google. Prices are normalized to USD per 1M tokens and blended for document workloads as 80% input tokens and 20% output tokens.</w:t>
      </w:r>
    </w:p>
    <w:p>
      <w:r>
        <w:t>OpenRouter market-share rankings are used as demand/adoption telemetry, not as the source of token prices. OpenRouter describes its rankings as based on real usage data from users accessing models through OpenRouter. Its State of AI usage study reports rapid adoption of capable alternatives, fragmentation among model families, and strong growth in programming/reasoning-heavy workloads.</w:t>
      </w:r>
    </w:p>
    <w:p>
      <w:pPr>
        <w:pStyle w:val="Heading1"/>
      </w:pPr>
      <w:r>
        <w:t>Core Formulas</w:t>
      </w:r>
    </w:p>
    <w:p>
      <w:r>
        <w:t>Revenue blended price using GPT-5.4 Pro daily prices:</w:t>
      </w:r>
    </w:p>
    <w:p>
      <w:pPr>
        <w:spacing w:after="120"/>
        <w:ind w:left="360"/>
      </w:pPr>
      <w:r>
        <w:rPr>
          <w:rFonts w:ascii="Courier New" w:hAnsi="Courier New"/>
          <w:sz w:val="18"/>
        </w:rPr>
        <w:t>revenue_blended_price_t = (2/3) * gpt_5_4_pro_input_price_t + (1/3) * gpt_5_4_pro_output_price_t</w:t>
      </w:r>
    </w:p>
    <w:p>
      <w:r>
        <w:t>Current standard blended price:</w:t>
      </w:r>
    </w:p>
    <w:p>
      <w:pPr>
        <w:spacing w:after="120"/>
        <w:ind w:left="360"/>
      </w:pPr>
      <w:r>
        <w:rPr>
          <w:rFonts w:ascii="Courier New" w:hAnsi="Courier New"/>
          <w:sz w:val="18"/>
        </w:rPr>
        <w:t>revenue_blended_price = (2/3) * 30 + (1/3) * 180 = 80 USD per 1M served tokens</w:t>
      </w:r>
    </w:p>
    <w:p>
      <w:r>
        <w:t>Revenue capacity and daily revenue:</w:t>
      </w:r>
    </w:p>
    <w:p>
      <w:pPr>
        <w:spacing w:after="120"/>
        <w:ind w:left="360"/>
      </w:pPr>
      <w:r>
        <w:rPr>
          <w:rFonts w:ascii="Courier New" w:hAnsi="Courier New"/>
          <w:sz w:val="18"/>
        </w:rPr>
        <w:t>revenue_capacity_t = max(0, total_capacity_t - training_allocated_capacity_t)</w:t>
      </w:r>
    </w:p>
    <w:p>
      <w:pPr>
        <w:spacing w:after="120"/>
        <w:ind w:left="360"/>
      </w:pPr>
      <w:r>
        <w:rPr>
          <w:rFonts w:ascii="Courier New" w:hAnsi="Courier New"/>
          <w:sz w:val="18"/>
        </w:rPr>
        <w:t>revenue_t = (revenue_capacity_t / 1_000_000) * revenue_blended_price_t</w:t>
      </w:r>
    </w:p>
    <w:p>
      <w:r>
        <w:t>Equivalently, with the token split explicit:</w:t>
      </w:r>
    </w:p>
    <w:p>
      <w:pPr>
        <w:spacing w:after="120"/>
        <w:ind w:left="360"/>
      </w:pPr>
      <w:r>
        <w:rPr>
          <w:rFonts w:ascii="Courier New" w:hAnsi="Courier New"/>
          <w:sz w:val="18"/>
        </w:rPr>
        <w:t>revenue_t = ((2/3 * revenue_capacity_t) / 1_000_000) * P_input_t + ((1/3 * revenue_capacity_t) / 1_000_000) * P_output_t</w:t>
      </w:r>
    </w:p>
    <w:p>
      <w:r>
        <w:t>Operational price modifiers at current GPT-5.4 Pro prices:</w:t>
      </w:r>
    </w:p>
    <w:tbl>
      <w:tblPr>
        <w:tblStyle w:val="TableGrid"/>
        <w:tblW w:type="auto" w:w="0"/>
        <w:jc w:val="center"/>
        <w:tblLayout w:type="fixed"/>
        <w:tblLook w:firstColumn="1" w:firstRow="1" w:lastColumn="0" w:lastRow="0" w:noHBand="0" w:noVBand="1" w:val="04A0"/>
      </w:tblPr>
      <w:tblGrid>
        <w:gridCol w:w="3024"/>
        <w:gridCol w:w="1512"/>
        <w:gridCol w:w="1512"/>
        <w:gridCol w:w="2880"/>
      </w:tblGrid>
      <w:tr>
        <w:tc>
          <w:tcPr>
            <w:tcW w:type="dxa" w:w="2340"/>
            <w:vAlign w:val="center"/>
            <w:shd w:fill="F2F4F7"/>
          </w:tcPr>
          <w:p>
            <w:pPr>
              <w:spacing w:after="0" w:line="252" w:lineRule="auto"/>
              <w:jc w:val="left"/>
            </w:pPr>
            <w:r/>
            <w:r>
              <w:rPr>
                <w:rFonts w:ascii="Calibri" w:hAnsi="Calibri"/>
                <w:b/>
                <w:sz w:val="18"/>
              </w:rPr>
              <w:t>Mode</w:t>
            </w:r>
          </w:p>
        </w:tc>
        <w:tc>
          <w:tcPr>
            <w:tcW w:type="dxa" w:w="2340"/>
            <w:vAlign w:val="center"/>
            <w:shd w:fill="F2F4F7"/>
          </w:tcPr>
          <w:p>
            <w:pPr>
              <w:spacing w:after="0" w:line="252" w:lineRule="auto"/>
              <w:jc w:val="left"/>
            </w:pPr>
            <w:r/>
            <w:r>
              <w:rPr>
                <w:rFonts w:ascii="Calibri" w:hAnsi="Calibri"/>
                <w:b/>
                <w:sz w:val="18"/>
              </w:rPr>
              <w:t>Input / 1M</w:t>
            </w:r>
          </w:p>
        </w:tc>
        <w:tc>
          <w:tcPr>
            <w:tcW w:type="dxa" w:w="2340"/>
            <w:vAlign w:val="center"/>
            <w:shd w:fill="F2F4F7"/>
          </w:tcPr>
          <w:p>
            <w:pPr>
              <w:spacing w:after="0" w:line="252" w:lineRule="auto"/>
              <w:jc w:val="left"/>
            </w:pPr>
            <w:r/>
            <w:r>
              <w:rPr>
                <w:rFonts w:ascii="Calibri" w:hAnsi="Calibri"/>
                <w:b/>
                <w:sz w:val="18"/>
              </w:rPr>
              <w:t>Output / 1M</w:t>
            </w:r>
          </w:p>
        </w:tc>
        <w:tc>
          <w:tcPr>
            <w:tcW w:type="dxa" w:w="2340"/>
            <w:vAlign w:val="center"/>
            <w:shd w:fill="F2F4F7"/>
          </w:tcPr>
          <w:p>
            <w:pPr>
              <w:spacing w:after="0" w:line="252" w:lineRule="auto"/>
              <w:jc w:val="left"/>
            </w:pPr>
            <w:r/>
            <w:r>
              <w:rPr>
                <w:rFonts w:ascii="Calibri" w:hAnsi="Calibri"/>
                <w:b/>
                <w:sz w:val="18"/>
              </w:rPr>
              <w:t>2/3 input + 1/3 output blend</w:t>
            </w:r>
          </w:p>
        </w:tc>
      </w:tr>
      <w:tr>
        <w:tc>
          <w:tcPr>
            <w:tcW w:type="dxa" w:w="3024"/>
            <w:vAlign w:val="center"/>
          </w:tcPr>
          <w:p>
            <w:pPr>
              <w:spacing w:after="0" w:line="252" w:lineRule="auto"/>
              <w:jc w:val="left"/>
            </w:pPr>
            <w:r/>
            <w:r>
              <w:rPr>
                <w:rFonts w:ascii="Calibri" w:hAnsi="Calibri"/>
                <w:b w:val="0"/>
                <w:sz w:val="18"/>
              </w:rPr>
              <w:t>Standard</w:t>
            </w:r>
          </w:p>
        </w:tc>
        <w:tc>
          <w:tcPr>
            <w:tcW w:type="dxa" w:w="1512"/>
            <w:vAlign w:val="center"/>
          </w:tcPr>
          <w:p>
            <w:pPr>
              <w:spacing w:after="0" w:line="252" w:lineRule="auto"/>
              <w:jc w:val="left"/>
            </w:pPr>
            <w:r/>
            <w:r>
              <w:rPr>
                <w:rFonts w:ascii="Calibri" w:hAnsi="Calibri"/>
                <w:b w:val="0"/>
                <w:sz w:val="18"/>
              </w:rPr>
              <w:t>$30</w:t>
            </w:r>
          </w:p>
        </w:tc>
        <w:tc>
          <w:tcPr>
            <w:tcW w:type="dxa" w:w="1512"/>
            <w:vAlign w:val="center"/>
          </w:tcPr>
          <w:p>
            <w:pPr>
              <w:spacing w:after="0" w:line="252" w:lineRule="auto"/>
              <w:jc w:val="left"/>
            </w:pPr>
            <w:r/>
            <w:r>
              <w:rPr>
                <w:rFonts w:ascii="Calibri" w:hAnsi="Calibri"/>
                <w:b w:val="0"/>
                <w:sz w:val="18"/>
              </w:rPr>
              <w:t>$180</w:t>
            </w:r>
          </w:p>
        </w:tc>
        <w:tc>
          <w:tcPr>
            <w:tcW w:type="dxa" w:w="2880"/>
            <w:vAlign w:val="center"/>
          </w:tcPr>
          <w:p>
            <w:pPr>
              <w:spacing w:after="0" w:line="252" w:lineRule="auto"/>
              <w:jc w:val="left"/>
            </w:pPr>
            <w:r/>
            <w:r>
              <w:rPr>
                <w:rFonts w:ascii="Calibri" w:hAnsi="Calibri"/>
                <w:b w:val="0"/>
                <w:sz w:val="18"/>
              </w:rPr>
              <w:t>$80</w:t>
            </w:r>
          </w:p>
        </w:tc>
      </w:tr>
      <w:tr>
        <w:tc>
          <w:tcPr>
            <w:tcW w:type="dxa" w:w="3024"/>
            <w:vAlign w:val="center"/>
          </w:tcPr>
          <w:p>
            <w:pPr>
              <w:spacing w:after="0" w:line="252" w:lineRule="auto"/>
              <w:jc w:val="left"/>
            </w:pPr>
            <w:r/>
            <w:r>
              <w:rPr>
                <w:rFonts w:ascii="Calibri" w:hAnsi="Calibri"/>
                <w:b w:val="0"/>
                <w:sz w:val="18"/>
              </w:rPr>
              <w:t>Batch / Flex</w:t>
            </w:r>
          </w:p>
        </w:tc>
        <w:tc>
          <w:tcPr>
            <w:tcW w:type="dxa" w:w="1512"/>
            <w:vAlign w:val="center"/>
          </w:tcPr>
          <w:p>
            <w:pPr>
              <w:spacing w:after="0" w:line="252" w:lineRule="auto"/>
              <w:jc w:val="left"/>
            </w:pPr>
            <w:r/>
            <w:r>
              <w:rPr>
                <w:rFonts w:ascii="Calibri" w:hAnsi="Calibri"/>
                <w:b w:val="0"/>
                <w:sz w:val="18"/>
              </w:rPr>
              <w:t>$15</w:t>
            </w:r>
          </w:p>
        </w:tc>
        <w:tc>
          <w:tcPr>
            <w:tcW w:type="dxa" w:w="1512"/>
            <w:vAlign w:val="center"/>
          </w:tcPr>
          <w:p>
            <w:pPr>
              <w:spacing w:after="0" w:line="252" w:lineRule="auto"/>
              <w:jc w:val="left"/>
            </w:pPr>
            <w:r/>
            <w:r>
              <w:rPr>
                <w:rFonts w:ascii="Calibri" w:hAnsi="Calibri"/>
                <w:b w:val="0"/>
                <w:sz w:val="18"/>
              </w:rPr>
              <w:t>$90</w:t>
            </w:r>
          </w:p>
        </w:tc>
        <w:tc>
          <w:tcPr>
            <w:tcW w:type="dxa" w:w="2880"/>
            <w:vAlign w:val="center"/>
          </w:tcPr>
          <w:p>
            <w:pPr>
              <w:spacing w:after="0" w:line="252" w:lineRule="auto"/>
              <w:jc w:val="left"/>
            </w:pPr>
            <w:r/>
            <w:r>
              <w:rPr>
                <w:rFonts w:ascii="Calibri" w:hAnsi="Calibri"/>
                <w:b w:val="0"/>
                <w:sz w:val="18"/>
              </w:rPr>
              <w:t>$40</w:t>
            </w:r>
          </w:p>
        </w:tc>
      </w:tr>
      <w:tr>
        <w:tc>
          <w:tcPr>
            <w:tcW w:type="dxa" w:w="3024"/>
            <w:vAlign w:val="center"/>
          </w:tcPr>
          <w:p>
            <w:pPr>
              <w:spacing w:after="0" w:line="252" w:lineRule="auto"/>
              <w:jc w:val="left"/>
            </w:pPr>
            <w:r/>
            <w:r>
              <w:rPr>
                <w:rFonts w:ascii="Calibri" w:hAnsi="Calibri"/>
                <w:b w:val="0"/>
                <w:sz w:val="18"/>
              </w:rPr>
              <w:t>Priority</w:t>
            </w:r>
          </w:p>
        </w:tc>
        <w:tc>
          <w:tcPr>
            <w:tcW w:type="dxa" w:w="1512"/>
            <w:vAlign w:val="center"/>
          </w:tcPr>
          <w:p>
            <w:pPr>
              <w:spacing w:after="0" w:line="252" w:lineRule="auto"/>
              <w:jc w:val="left"/>
            </w:pPr>
            <w:r/>
            <w:r>
              <w:rPr>
                <w:rFonts w:ascii="Calibri" w:hAnsi="Calibri"/>
                <w:b w:val="0"/>
                <w:sz w:val="18"/>
              </w:rPr>
              <w:t>$60</w:t>
            </w:r>
          </w:p>
        </w:tc>
        <w:tc>
          <w:tcPr>
            <w:tcW w:type="dxa" w:w="1512"/>
            <w:vAlign w:val="center"/>
          </w:tcPr>
          <w:p>
            <w:pPr>
              <w:spacing w:after="0" w:line="252" w:lineRule="auto"/>
              <w:jc w:val="left"/>
            </w:pPr>
            <w:r/>
            <w:r>
              <w:rPr>
                <w:rFonts w:ascii="Calibri" w:hAnsi="Calibri"/>
                <w:b w:val="0"/>
                <w:sz w:val="18"/>
              </w:rPr>
              <w:t>$360</w:t>
            </w:r>
          </w:p>
        </w:tc>
        <w:tc>
          <w:tcPr>
            <w:tcW w:type="dxa" w:w="2880"/>
            <w:vAlign w:val="center"/>
          </w:tcPr>
          <w:p>
            <w:pPr>
              <w:spacing w:after="0" w:line="252" w:lineRule="auto"/>
              <w:jc w:val="left"/>
            </w:pPr>
            <w:r/>
            <w:r>
              <w:rPr>
                <w:rFonts w:ascii="Calibri" w:hAnsi="Calibri"/>
                <w:b w:val="0"/>
                <w:sz w:val="18"/>
              </w:rPr>
              <w:t>$160</w:t>
            </w:r>
          </w:p>
        </w:tc>
      </w:tr>
      <w:tr>
        <w:tc>
          <w:tcPr>
            <w:tcW w:type="dxa" w:w="3024"/>
            <w:vAlign w:val="center"/>
          </w:tcPr>
          <w:p>
            <w:pPr>
              <w:spacing w:after="0" w:line="252" w:lineRule="auto"/>
              <w:jc w:val="left"/>
            </w:pPr>
            <w:r/>
            <w:r>
              <w:rPr>
                <w:rFonts w:ascii="Calibri" w:hAnsi="Calibri"/>
                <w:b w:val="0"/>
                <w:sz w:val="18"/>
              </w:rPr>
              <w:t>Long context &gt;272K input</w:t>
            </w:r>
          </w:p>
        </w:tc>
        <w:tc>
          <w:tcPr>
            <w:tcW w:type="dxa" w:w="1512"/>
            <w:vAlign w:val="center"/>
          </w:tcPr>
          <w:p>
            <w:pPr>
              <w:spacing w:after="0" w:line="252" w:lineRule="auto"/>
              <w:jc w:val="left"/>
            </w:pPr>
            <w:r/>
            <w:r>
              <w:rPr>
                <w:rFonts w:ascii="Calibri" w:hAnsi="Calibri"/>
                <w:b w:val="0"/>
                <w:sz w:val="18"/>
              </w:rPr>
              <w:t>$60</w:t>
            </w:r>
          </w:p>
        </w:tc>
        <w:tc>
          <w:tcPr>
            <w:tcW w:type="dxa" w:w="1512"/>
            <w:vAlign w:val="center"/>
          </w:tcPr>
          <w:p>
            <w:pPr>
              <w:spacing w:after="0" w:line="252" w:lineRule="auto"/>
              <w:jc w:val="left"/>
            </w:pPr>
            <w:r/>
            <w:r>
              <w:rPr>
                <w:rFonts w:ascii="Calibri" w:hAnsi="Calibri"/>
                <w:b w:val="0"/>
                <w:sz w:val="18"/>
              </w:rPr>
              <w:t>$270</w:t>
            </w:r>
          </w:p>
        </w:tc>
        <w:tc>
          <w:tcPr>
            <w:tcW w:type="dxa" w:w="2880"/>
            <w:vAlign w:val="center"/>
          </w:tcPr>
          <w:p>
            <w:pPr>
              <w:spacing w:after="0" w:line="252" w:lineRule="auto"/>
              <w:jc w:val="left"/>
            </w:pPr>
            <w:r/>
            <w:r>
              <w:rPr>
                <w:rFonts w:ascii="Calibri" w:hAnsi="Calibri"/>
                <w:b w:val="0"/>
                <w:sz w:val="18"/>
              </w:rPr>
              <w:t>$130</w:t>
            </w:r>
          </w:p>
        </w:tc>
      </w:tr>
      <w:tr>
        <w:tc>
          <w:tcPr>
            <w:tcW w:type="dxa" w:w="3024"/>
            <w:vAlign w:val="center"/>
          </w:tcPr>
          <w:p>
            <w:pPr>
              <w:spacing w:after="0" w:line="252" w:lineRule="auto"/>
              <w:jc w:val="left"/>
            </w:pPr>
            <w:r/>
            <w:r>
              <w:rPr>
                <w:rFonts w:ascii="Calibri" w:hAnsi="Calibri"/>
                <w:b w:val="0"/>
                <w:sz w:val="18"/>
              </w:rPr>
              <w:t>Regional/data residency</w:t>
            </w:r>
          </w:p>
        </w:tc>
        <w:tc>
          <w:tcPr>
            <w:tcW w:type="dxa" w:w="1512"/>
            <w:vAlign w:val="center"/>
          </w:tcPr>
          <w:p>
            <w:pPr>
              <w:spacing w:after="0" w:line="252" w:lineRule="auto"/>
              <w:jc w:val="left"/>
            </w:pPr>
            <w:r/>
            <w:r>
              <w:rPr>
                <w:rFonts w:ascii="Calibri" w:hAnsi="Calibri"/>
                <w:b w:val="0"/>
                <w:sz w:val="18"/>
              </w:rPr>
              <w:t>$33</w:t>
            </w:r>
          </w:p>
        </w:tc>
        <w:tc>
          <w:tcPr>
            <w:tcW w:type="dxa" w:w="1512"/>
            <w:vAlign w:val="center"/>
          </w:tcPr>
          <w:p>
            <w:pPr>
              <w:spacing w:after="0" w:line="252" w:lineRule="auto"/>
              <w:jc w:val="left"/>
            </w:pPr>
            <w:r/>
            <w:r>
              <w:rPr>
                <w:rFonts w:ascii="Calibri" w:hAnsi="Calibri"/>
                <w:b w:val="0"/>
                <w:sz w:val="18"/>
              </w:rPr>
              <w:t>$198</w:t>
            </w:r>
          </w:p>
        </w:tc>
        <w:tc>
          <w:tcPr>
            <w:tcW w:type="dxa" w:w="2880"/>
            <w:vAlign w:val="center"/>
          </w:tcPr>
          <w:p>
            <w:pPr>
              <w:spacing w:after="0" w:line="252" w:lineRule="auto"/>
              <w:jc w:val="left"/>
            </w:pPr>
            <w:r/>
            <w:r>
              <w:rPr>
                <w:rFonts w:ascii="Calibri" w:hAnsi="Calibri"/>
                <w:b w:val="0"/>
                <w:sz w:val="18"/>
              </w:rPr>
              <w:t>$88</w:t>
            </w:r>
          </w:p>
        </w:tc>
      </w:tr>
    </w:tbl>
    <w:p/>
    <w:p>
      <w:r>
        <w:t>Document workload blended price:</w:t>
      </w:r>
    </w:p>
    <w:p>
      <w:pPr>
        <w:spacing w:after="120"/>
        <w:ind w:left="360"/>
      </w:pPr>
      <w:r>
        <w:rPr>
          <w:rFonts w:ascii="Courier New" w:hAnsi="Courier New"/>
          <w:sz w:val="18"/>
        </w:rPr>
        <w:t>doc_blended_price = 0.8 * input_price_per_1m + 0.2 * output_price_per_1m</w:t>
      </w:r>
    </w:p>
    <w:p>
      <w:r>
        <w:t>Time-adjusted value per token for model i at time t:</w:t>
      </w:r>
    </w:p>
    <w:p>
      <w:pPr>
        <w:spacing w:after="120"/>
        <w:ind w:left="360"/>
      </w:pPr>
      <w:r>
        <w:rPr>
          <w:rFonts w:ascii="Courier New" w:hAnsi="Courier New"/>
          <w:sz w:val="18"/>
        </w:rPr>
        <w:t>value_per_token_i(t) = doc_blended_price_i * quality_multiplier_i * 2 ** (-(t - release_date_i).days / half_life_days)</w:t>
      </w:r>
    </w:p>
    <w:p>
      <w:r>
        <w:t>If using a fixed per-release uplift:</w:t>
      </w:r>
    </w:p>
    <w:p>
      <w:pPr>
        <w:spacing w:after="120"/>
        <w:ind w:left="360"/>
      </w:pPr>
      <w:r>
        <w:rPr>
          <w:rFonts w:ascii="Courier New" w:hAnsi="Courier New"/>
          <w:sz w:val="18"/>
        </w:rPr>
        <w:t>quality_multiplier_i = uplift_factor ** release_index_i</w:t>
      </w:r>
    </w:p>
    <w:p>
      <w:r>
        <w:t>If using OpenRouter token share as a market adoption weight:</w:t>
      </w:r>
    </w:p>
    <w:p>
      <w:pPr>
        <w:spacing w:after="120"/>
        <w:ind w:left="360"/>
      </w:pPr>
      <w:r>
        <w:rPr>
          <w:rFonts w:ascii="Courier New" w:hAnsi="Courier New"/>
          <w:sz w:val="18"/>
        </w:rPr>
        <w:t>effective_market_value_t = sum_i(openrouter_token_share_i_t * doc_blended_price_i_t * quality_multiplier_i_t)</w:t>
      </w:r>
    </w:p>
    <w:p>
      <w:pPr>
        <w:pStyle w:val="Heading1"/>
      </w:pPr>
      <w:r>
        <w:t>Half-Life Estimate</w:t>
      </w:r>
    </w:p>
    <w:p>
      <w:r>
        <w:t>For adjacent efficient-frontier observations, infer market half-life from a fixed quality uplift assumption:</w:t>
      </w:r>
    </w:p>
    <w:p>
      <w:pPr>
        <w:spacing w:after="120"/>
        <w:ind w:left="360"/>
      </w:pPr>
      <w:r>
        <w:rPr>
          <w:rFonts w:ascii="Courier New" w:hAnsi="Courier New"/>
          <w:sz w:val="18"/>
        </w:rPr>
        <w:t>h = delta_days / log2(uplift_factor / price_ratio)</w:t>
      </w:r>
    </w:p>
    <w:p>
      <w:r>
        <w:t>Using uplift_factor = 1.5 and the 80/20 document blend:</w:t>
      </w:r>
    </w:p>
    <w:tbl>
      <w:tblPr>
        <w:tblStyle w:val="TableGrid"/>
        <w:tblW w:type="auto" w:w="0"/>
        <w:jc w:val="center"/>
        <w:tblLayout w:type="fixed"/>
        <w:tblLook w:firstColumn="1" w:firstRow="1" w:lastColumn="0" w:lastRow="0" w:noHBand="0" w:noVBand="1" w:val="04A0"/>
      </w:tblPr>
      <w:tblGrid>
        <w:gridCol w:w="3816"/>
        <w:gridCol w:w="936"/>
        <w:gridCol w:w="2016"/>
        <w:gridCol w:w="2088"/>
      </w:tblGrid>
      <w:tr>
        <w:tc>
          <w:tcPr>
            <w:tcW w:type="dxa" w:w="2340"/>
            <w:vAlign w:val="center"/>
            <w:shd w:fill="F2F4F7"/>
          </w:tcPr>
          <w:p>
            <w:pPr>
              <w:spacing w:after="0" w:line="252" w:lineRule="auto"/>
              <w:jc w:val="left"/>
            </w:pPr>
            <w:r/>
            <w:r>
              <w:rPr>
                <w:rFonts w:ascii="Calibri" w:hAnsi="Calibri"/>
                <w:b/>
                <w:sz w:val="18"/>
              </w:rPr>
              <w:t>Transition</w:t>
            </w:r>
          </w:p>
        </w:tc>
        <w:tc>
          <w:tcPr>
            <w:tcW w:type="dxa" w:w="2340"/>
            <w:vAlign w:val="center"/>
            <w:shd w:fill="F2F4F7"/>
          </w:tcPr>
          <w:p>
            <w:pPr>
              <w:spacing w:after="0" w:line="252" w:lineRule="auto"/>
              <w:jc w:val="left"/>
            </w:pPr>
            <w:r/>
            <w:r>
              <w:rPr>
                <w:rFonts w:ascii="Calibri" w:hAnsi="Calibri"/>
                <w:b/>
                <w:sz w:val="18"/>
              </w:rPr>
              <w:t>Days</w:t>
            </w:r>
          </w:p>
        </w:tc>
        <w:tc>
          <w:tcPr>
            <w:tcW w:type="dxa" w:w="2340"/>
            <w:vAlign w:val="center"/>
            <w:shd w:fill="F2F4F7"/>
          </w:tcPr>
          <w:p>
            <w:pPr>
              <w:spacing w:after="0" w:line="252" w:lineRule="auto"/>
              <w:jc w:val="left"/>
            </w:pPr>
            <w:r/>
            <w:r>
              <w:rPr>
                <w:rFonts w:ascii="Calibri" w:hAnsi="Calibri"/>
                <w:b/>
                <w:sz w:val="18"/>
              </w:rPr>
              <w:t>Blended price ratio</w:t>
            </w:r>
          </w:p>
        </w:tc>
        <w:tc>
          <w:tcPr>
            <w:tcW w:type="dxa" w:w="2340"/>
            <w:vAlign w:val="center"/>
            <w:shd w:fill="F2F4F7"/>
          </w:tcPr>
          <w:p>
            <w:pPr>
              <w:spacing w:after="0" w:line="252" w:lineRule="auto"/>
              <w:jc w:val="left"/>
            </w:pPr>
            <w:r/>
            <w:r>
              <w:rPr>
                <w:rFonts w:ascii="Calibri" w:hAnsi="Calibri"/>
                <w:b/>
                <w:sz w:val="18"/>
              </w:rPr>
              <w:t>Implied half-life</w:t>
            </w:r>
          </w:p>
        </w:tc>
      </w:tr>
      <w:tr>
        <w:tc>
          <w:tcPr>
            <w:tcW w:type="dxa" w:w="3816"/>
            <w:vAlign w:val="center"/>
          </w:tcPr>
          <w:p>
            <w:pPr>
              <w:spacing w:after="0" w:line="252" w:lineRule="auto"/>
              <w:jc w:val="left"/>
            </w:pPr>
            <w:r/>
            <w:r>
              <w:rPr>
                <w:rFonts w:ascii="Calibri" w:hAnsi="Calibri"/>
                <w:b w:val="0"/>
                <w:sz w:val="18"/>
              </w:rPr>
              <w:t>GPT-4 -&gt; GPT-4 Turbo</w:t>
            </w:r>
          </w:p>
        </w:tc>
        <w:tc>
          <w:tcPr>
            <w:tcW w:type="dxa" w:w="936"/>
            <w:vAlign w:val="center"/>
          </w:tcPr>
          <w:p>
            <w:pPr>
              <w:spacing w:after="0" w:line="252" w:lineRule="auto"/>
              <w:jc w:val="left"/>
            </w:pPr>
            <w:r/>
            <w:r>
              <w:rPr>
                <w:rFonts w:ascii="Calibri" w:hAnsi="Calibri"/>
                <w:b w:val="0"/>
                <w:sz w:val="18"/>
              </w:rPr>
              <w:t>237</w:t>
            </w:r>
          </w:p>
        </w:tc>
        <w:tc>
          <w:tcPr>
            <w:tcW w:type="dxa" w:w="2016"/>
            <w:vAlign w:val="center"/>
          </w:tcPr>
          <w:p>
            <w:pPr>
              <w:spacing w:after="0" w:line="252" w:lineRule="auto"/>
              <w:jc w:val="left"/>
            </w:pPr>
            <w:r/>
            <w:r>
              <w:rPr>
                <w:rFonts w:ascii="Calibri" w:hAnsi="Calibri"/>
                <w:b w:val="0"/>
                <w:sz w:val="18"/>
              </w:rPr>
              <w:t>0.39</w:t>
            </w:r>
          </w:p>
        </w:tc>
        <w:tc>
          <w:tcPr>
            <w:tcW w:type="dxa" w:w="2088"/>
            <w:vAlign w:val="center"/>
          </w:tcPr>
          <w:p>
            <w:pPr>
              <w:spacing w:after="0" w:line="252" w:lineRule="auto"/>
              <w:jc w:val="left"/>
            </w:pPr>
            <w:r/>
            <w:r>
              <w:rPr>
                <w:rFonts w:ascii="Calibri" w:hAnsi="Calibri"/>
                <w:b w:val="0"/>
                <w:sz w:val="18"/>
              </w:rPr>
              <w:t>128 days</w:t>
            </w:r>
          </w:p>
        </w:tc>
      </w:tr>
      <w:tr>
        <w:tc>
          <w:tcPr>
            <w:tcW w:type="dxa" w:w="3816"/>
            <w:vAlign w:val="center"/>
          </w:tcPr>
          <w:p>
            <w:pPr>
              <w:spacing w:after="0" w:line="252" w:lineRule="auto"/>
              <w:jc w:val="left"/>
            </w:pPr>
            <w:r/>
            <w:r>
              <w:rPr>
                <w:rFonts w:ascii="Calibri" w:hAnsi="Calibri"/>
                <w:b w:val="0"/>
                <w:sz w:val="18"/>
              </w:rPr>
              <w:t>GPT-4 Turbo -&gt; GPT-4o</w:t>
            </w:r>
          </w:p>
        </w:tc>
        <w:tc>
          <w:tcPr>
            <w:tcW w:type="dxa" w:w="936"/>
            <w:vAlign w:val="center"/>
          </w:tcPr>
          <w:p>
            <w:pPr>
              <w:spacing w:after="0" w:line="252" w:lineRule="auto"/>
              <w:jc w:val="left"/>
            </w:pPr>
            <w:r/>
            <w:r>
              <w:rPr>
                <w:rFonts w:ascii="Calibri" w:hAnsi="Calibri"/>
                <w:b w:val="0"/>
                <w:sz w:val="18"/>
              </w:rPr>
              <w:t>189</w:t>
            </w:r>
          </w:p>
        </w:tc>
        <w:tc>
          <w:tcPr>
            <w:tcW w:type="dxa" w:w="2016"/>
            <w:vAlign w:val="center"/>
          </w:tcPr>
          <w:p>
            <w:pPr>
              <w:spacing w:after="0" w:line="252" w:lineRule="auto"/>
              <w:jc w:val="left"/>
            </w:pPr>
            <w:r/>
            <w:r>
              <w:rPr>
                <w:rFonts w:ascii="Calibri" w:hAnsi="Calibri"/>
                <w:b w:val="0"/>
                <w:sz w:val="18"/>
              </w:rPr>
              <w:t>0.50</w:t>
            </w:r>
          </w:p>
        </w:tc>
        <w:tc>
          <w:tcPr>
            <w:tcW w:type="dxa" w:w="2088"/>
            <w:vAlign w:val="center"/>
          </w:tcPr>
          <w:p>
            <w:pPr>
              <w:spacing w:after="0" w:line="252" w:lineRule="auto"/>
              <w:jc w:val="left"/>
            </w:pPr>
            <w:r/>
            <w:r>
              <w:rPr>
                <w:rFonts w:ascii="Calibri" w:hAnsi="Calibri"/>
                <w:b w:val="0"/>
                <w:sz w:val="18"/>
              </w:rPr>
              <w:t>119 days</w:t>
            </w:r>
          </w:p>
        </w:tc>
      </w:tr>
      <w:tr>
        <w:tc>
          <w:tcPr>
            <w:tcW w:type="dxa" w:w="3816"/>
            <w:vAlign w:val="center"/>
          </w:tcPr>
          <w:p>
            <w:pPr>
              <w:spacing w:after="0" w:line="252" w:lineRule="auto"/>
              <w:jc w:val="left"/>
            </w:pPr>
            <w:r/>
            <w:r>
              <w:rPr>
                <w:rFonts w:ascii="Calibri" w:hAnsi="Calibri"/>
                <w:b w:val="0"/>
                <w:sz w:val="18"/>
              </w:rPr>
              <w:t>Claude 3 Opus -&gt; Claude 3.5 Sonnet</w:t>
            </w:r>
          </w:p>
        </w:tc>
        <w:tc>
          <w:tcPr>
            <w:tcW w:type="dxa" w:w="936"/>
            <w:vAlign w:val="center"/>
          </w:tcPr>
          <w:p>
            <w:pPr>
              <w:spacing w:after="0" w:line="252" w:lineRule="auto"/>
              <w:jc w:val="left"/>
            </w:pPr>
            <w:r/>
            <w:r>
              <w:rPr>
                <w:rFonts w:ascii="Calibri" w:hAnsi="Calibri"/>
                <w:b w:val="0"/>
                <w:sz w:val="18"/>
              </w:rPr>
              <w:t>108</w:t>
            </w:r>
          </w:p>
        </w:tc>
        <w:tc>
          <w:tcPr>
            <w:tcW w:type="dxa" w:w="2016"/>
            <w:vAlign w:val="center"/>
          </w:tcPr>
          <w:p>
            <w:pPr>
              <w:spacing w:after="0" w:line="252" w:lineRule="auto"/>
              <w:jc w:val="left"/>
            </w:pPr>
            <w:r/>
            <w:r>
              <w:rPr>
                <w:rFonts w:ascii="Calibri" w:hAnsi="Calibri"/>
                <w:b w:val="0"/>
                <w:sz w:val="18"/>
              </w:rPr>
              <w:t>0.20</w:t>
            </w:r>
          </w:p>
        </w:tc>
        <w:tc>
          <w:tcPr>
            <w:tcW w:type="dxa" w:w="2088"/>
            <w:vAlign w:val="center"/>
          </w:tcPr>
          <w:p>
            <w:pPr>
              <w:spacing w:after="0" w:line="252" w:lineRule="auto"/>
              <w:jc w:val="left"/>
            </w:pPr>
            <w:r/>
            <w:r>
              <w:rPr>
                <w:rFonts w:ascii="Calibri" w:hAnsi="Calibri"/>
                <w:b w:val="0"/>
                <w:sz w:val="18"/>
              </w:rPr>
              <w:t>37 days</w:t>
            </w:r>
          </w:p>
        </w:tc>
      </w:tr>
      <w:tr>
        <w:tc>
          <w:tcPr>
            <w:tcW w:type="dxa" w:w="3816"/>
            <w:vAlign w:val="center"/>
          </w:tcPr>
          <w:p>
            <w:pPr>
              <w:spacing w:after="0" w:line="252" w:lineRule="auto"/>
              <w:jc w:val="left"/>
            </w:pPr>
            <w:r/>
            <w:r>
              <w:rPr>
                <w:rFonts w:ascii="Calibri" w:hAnsi="Calibri"/>
                <w:b w:val="0"/>
                <w:sz w:val="18"/>
              </w:rPr>
              <w:t>Claude 3.7 Sonnet -&gt; Gemini 2.5 Pro</w:t>
            </w:r>
          </w:p>
        </w:tc>
        <w:tc>
          <w:tcPr>
            <w:tcW w:type="dxa" w:w="936"/>
            <w:vAlign w:val="center"/>
          </w:tcPr>
          <w:p>
            <w:pPr>
              <w:spacing w:after="0" w:line="252" w:lineRule="auto"/>
              <w:jc w:val="left"/>
            </w:pPr>
            <w:r/>
            <w:r>
              <w:rPr>
                <w:rFonts w:ascii="Calibri" w:hAnsi="Calibri"/>
                <w:b w:val="0"/>
                <w:sz w:val="18"/>
              </w:rPr>
              <w:t>39</w:t>
            </w:r>
          </w:p>
        </w:tc>
        <w:tc>
          <w:tcPr>
            <w:tcW w:type="dxa" w:w="2016"/>
            <w:vAlign w:val="center"/>
          </w:tcPr>
          <w:p>
            <w:pPr>
              <w:spacing w:after="0" w:line="252" w:lineRule="auto"/>
              <w:jc w:val="left"/>
            </w:pPr>
            <w:r/>
            <w:r>
              <w:rPr>
                <w:rFonts w:ascii="Calibri" w:hAnsi="Calibri"/>
                <w:b w:val="0"/>
                <w:sz w:val="18"/>
              </w:rPr>
              <w:t>0.56</w:t>
            </w:r>
          </w:p>
        </w:tc>
        <w:tc>
          <w:tcPr>
            <w:tcW w:type="dxa" w:w="2088"/>
            <w:vAlign w:val="center"/>
          </w:tcPr>
          <w:p>
            <w:pPr>
              <w:spacing w:after="0" w:line="252" w:lineRule="auto"/>
              <w:jc w:val="left"/>
            </w:pPr>
            <w:r/>
            <w:r>
              <w:rPr>
                <w:rFonts w:ascii="Calibri" w:hAnsi="Calibri"/>
                <w:b w:val="0"/>
                <w:sz w:val="18"/>
              </w:rPr>
              <w:t>27 days</w:t>
            </w:r>
          </w:p>
        </w:tc>
      </w:tr>
      <w:tr>
        <w:tc>
          <w:tcPr>
            <w:tcW w:type="dxa" w:w="3816"/>
            <w:vAlign w:val="center"/>
          </w:tcPr>
          <w:p>
            <w:pPr>
              <w:spacing w:after="0" w:line="252" w:lineRule="auto"/>
              <w:jc w:val="left"/>
            </w:pPr>
            <w:r/>
            <w:r>
              <w:rPr>
                <w:rFonts w:ascii="Calibri" w:hAnsi="Calibri"/>
                <w:b w:val="0"/>
                <w:sz w:val="18"/>
              </w:rPr>
              <w:t>Claude Sonnet 4 -&gt; GPT-5</w:t>
            </w:r>
          </w:p>
        </w:tc>
        <w:tc>
          <w:tcPr>
            <w:tcW w:type="dxa" w:w="936"/>
            <w:vAlign w:val="center"/>
          </w:tcPr>
          <w:p>
            <w:pPr>
              <w:spacing w:after="0" w:line="252" w:lineRule="auto"/>
              <w:jc w:val="left"/>
            </w:pPr>
            <w:r/>
            <w:r>
              <w:rPr>
                <w:rFonts w:ascii="Calibri" w:hAnsi="Calibri"/>
                <w:b w:val="0"/>
                <w:sz w:val="18"/>
              </w:rPr>
              <w:t>77</w:t>
            </w:r>
          </w:p>
        </w:tc>
        <w:tc>
          <w:tcPr>
            <w:tcW w:type="dxa" w:w="2016"/>
            <w:vAlign w:val="center"/>
          </w:tcPr>
          <w:p>
            <w:pPr>
              <w:spacing w:after="0" w:line="252" w:lineRule="auto"/>
              <w:jc w:val="left"/>
            </w:pPr>
            <w:r/>
            <w:r>
              <w:rPr>
                <w:rFonts w:ascii="Calibri" w:hAnsi="Calibri"/>
                <w:b w:val="0"/>
                <w:sz w:val="18"/>
              </w:rPr>
              <w:t>0.56</w:t>
            </w:r>
          </w:p>
        </w:tc>
        <w:tc>
          <w:tcPr>
            <w:tcW w:type="dxa" w:w="2088"/>
            <w:vAlign w:val="center"/>
          </w:tcPr>
          <w:p>
            <w:pPr>
              <w:spacing w:after="0" w:line="252" w:lineRule="auto"/>
              <w:jc w:val="left"/>
            </w:pPr>
            <w:r/>
            <w:r>
              <w:rPr>
                <w:rFonts w:ascii="Calibri" w:hAnsi="Calibri"/>
                <w:b w:val="0"/>
                <w:sz w:val="18"/>
              </w:rPr>
              <w:t>53 days</w:t>
            </w:r>
          </w:p>
        </w:tc>
      </w:tr>
    </w:tbl>
    <w:p/>
    <w:p>
      <w:r>
        <w:t>Interpretation: the useful frontier-envelope pairs have a median implied half-life of approximately 53 days and a mean of approximately 73 days. That supports 60 days as a reasonable central point estimate for switchable API workloads.</w:t>
      </w:r>
    </w:p>
    <w:p>
      <w:pPr>
        <w:pStyle w:val="Heading1"/>
      </w:pPr>
      <w:r>
        <w:t>Quality Multiplier Estimate</w:t>
      </w:r>
    </w:p>
    <w:p>
      <w:r>
        <w:t>Benchmark deltas suggest that 1.5x is plausible but too high as a universal default. For broad document tasks, many benchmarks are already partially saturated, so raw score gains are modest.</w:t>
      </w:r>
    </w:p>
    <w:tbl>
      <w:tblPr>
        <w:tblStyle w:val="TableGrid"/>
        <w:tblW w:type="auto" w:w="0"/>
        <w:jc w:val="center"/>
        <w:tblLayout w:type="fixed"/>
        <w:tblLook w:firstColumn="1" w:firstRow="1" w:lastColumn="0" w:lastRow="0" w:noHBand="0" w:noVBand="1" w:val="04A0"/>
      </w:tblPr>
      <w:tblGrid>
        <w:gridCol w:w="2448"/>
        <w:gridCol w:w="3384"/>
        <w:gridCol w:w="3528"/>
      </w:tblGrid>
      <w:tr>
        <w:tc>
          <w:tcPr>
            <w:tcW w:type="dxa" w:w="3120"/>
            <w:vAlign w:val="center"/>
            <w:shd w:fill="F2F4F7"/>
          </w:tcPr>
          <w:p>
            <w:pPr>
              <w:spacing w:after="0" w:line="252" w:lineRule="auto"/>
              <w:jc w:val="left"/>
            </w:pPr>
            <w:r/>
            <w:r>
              <w:rPr>
                <w:rFonts w:ascii="Calibri" w:hAnsi="Calibri"/>
                <w:b/>
                <w:sz w:val="18"/>
              </w:rPr>
              <w:t>Comparison</w:t>
            </w:r>
          </w:p>
        </w:tc>
        <w:tc>
          <w:tcPr>
            <w:tcW w:type="dxa" w:w="3120"/>
            <w:vAlign w:val="center"/>
            <w:shd w:fill="F2F4F7"/>
          </w:tcPr>
          <w:p>
            <w:pPr>
              <w:spacing w:after="0" w:line="252" w:lineRule="auto"/>
              <w:jc w:val="left"/>
            </w:pPr>
            <w:r/>
            <w:r>
              <w:rPr>
                <w:rFonts w:ascii="Calibri" w:hAnsi="Calibri"/>
                <w:b/>
                <w:sz w:val="18"/>
              </w:rPr>
              <w:t>Observed signal</w:t>
            </w:r>
          </w:p>
        </w:tc>
        <w:tc>
          <w:tcPr>
            <w:tcW w:type="dxa" w:w="3120"/>
            <w:vAlign w:val="center"/>
            <w:shd w:fill="F2F4F7"/>
          </w:tcPr>
          <w:p>
            <w:pPr>
              <w:spacing w:after="0" w:line="252" w:lineRule="auto"/>
              <w:jc w:val="left"/>
            </w:pPr>
            <w:r/>
            <w:r>
              <w:rPr>
                <w:rFonts w:ascii="Calibri" w:hAnsi="Calibri"/>
                <w:b/>
                <w:sz w:val="18"/>
              </w:rPr>
              <w:t>Implication</w:t>
            </w:r>
          </w:p>
        </w:tc>
      </w:tr>
      <w:tr>
        <w:tc>
          <w:tcPr>
            <w:tcW w:type="dxa" w:w="2448"/>
            <w:vAlign w:val="center"/>
          </w:tcPr>
          <w:p>
            <w:pPr>
              <w:spacing w:after="0" w:line="252" w:lineRule="auto"/>
              <w:jc w:val="left"/>
            </w:pPr>
            <w:r/>
            <w:r>
              <w:rPr>
                <w:rFonts w:ascii="Calibri" w:hAnsi="Calibri"/>
                <w:b w:val="0"/>
                <w:sz w:val="18"/>
              </w:rPr>
              <w:t>GPT-4 -&gt; GPT-4o</w:t>
            </w:r>
          </w:p>
        </w:tc>
        <w:tc>
          <w:tcPr>
            <w:tcW w:type="dxa" w:w="3384"/>
            <w:vAlign w:val="center"/>
          </w:tcPr>
          <w:p>
            <w:pPr>
              <w:spacing w:after="0" w:line="252" w:lineRule="auto"/>
              <w:jc w:val="left"/>
            </w:pPr>
            <w:r/>
            <w:r>
              <w:rPr>
                <w:rFonts w:ascii="Calibri" w:hAnsi="Calibri"/>
                <w:b w:val="0"/>
                <w:sz w:val="18"/>
              </w:rPr>
              <w:t>MMLU: about 86.4% -&gt; 88.7%</w:t>
            </w:r>
          </w:p>
        </w:tc>
        <w:tc>
          <w:tcPr>
            <w:tcW w:type="dxa" w:w="3528"/>
            <w:vAlign w:val="center"/>
          </w:tcPr>
          <w:p>
            <w:pPr>
              <w:spacing w:after="0" w:line="252" w:lineRule="auto"/>
              <w:jc w:val="left"/>
            </w:pPr>
            <w:r/>
            <w:r>
              <w:rPr>
                <w:rFonts w:ascii="Calibri" w:hAnsi="Calibri"/>
                <w:b w:val="0"/>
                <w:sz w:val="18"/>
              </w:rPr>
              <w:t>Raw multiplier about 1.03; log-odds multiplier about 1.24</w:t>
            </w:r>
          </w:p>
        </w:tc>
      </w:tr>
      <w:tr>
        <w:tc>
          <w:tcPr>
            <w:tcW w:type="dxa" w:w="2448"/>
            <w:vAlign w:val="center"/>
          </w:tcPr>
          <w:p>
            <w:pPr>
              <w:spacing w:after="0" w:line="252" w:lineRule="auto"/>
              <w:jc w:val="left"/>
            </w:pPr>
            <w:r/>
            <w:r>
              <w:rPr>
                <w:rFonts w:ascii="Calibri" w:hAnsi="Calibri"/>
                <w:b w:val="0"/>
                <w:sz w:val="18"/>
              </w:rPr>
              <w:t>GPT-4o -&gt; Claude 3.5 Sonnet</w:t>
            </w:r>
          </w:p>
        </w:tc>
        <w:tc>
          <w:tcPr>
            <w:tcW w:type="dxa" w:w="3384"/>
            <w:vAlign w:val="center"/>
          </w:tcPr>
          <w:p>
            <w:pPr>
              <w:spacing w:after="0" w:line="252" w:lineRule="auto"/>
              <w:jc w:val="left"/>
            </w:pPr>
            <w:r/>
            <w:r>
              <w:rPr>
                <w:rFonts w:ascii="Calibri" w:hAnsi="Calibri"/>
                <w:b w:val="0"/>
                <w:sz w:val="18"/>
              </w:rPr>
              <w:t>GPQA-style reasoning: about 53.6% -&gt; 59.4%</w:t>
            </w:r>
          </w:p>
        </w:tc>
        <w:tc>
          <w:tcPr>
            <w:tcW w:type="dxa" w:w="3528"/>
            <w:vAlign w:val="center"/>
          </w:tcPr>
          <w:p>
            <w:pPr>
              <w:spacing w:after="0" w:line="252" w:lineRule="auto"/>
              <w:jc w:val="left"/>
            </w:pPr>
            <w:r/>
            <w:r>
              <w:rPr>
                <w:rFonts w:ascii="Calibri" w:hAnsi="Calibri"/>
                <w:b w:val="0"/>
                <w:sz w:val="18"/>
              </w:rPr>
              <w:t>Raw multiplier about 1.11; log-odds multiplier about 1.27</w:t>
            </w:r>
          </w:p>
        </w:tc>
      </w:tr>
      <w:tr>
        <w:tc>
          <w:tcPr>
            <w:tcW w:type="dxa" w:w="2448"/>
            <w:vAlign w:val="center"/>
          </w:tcPr>
          <w:p>
            <w:pPr>
              <w:spacing w:after="0" w:line="252" w:lineRule="auto"/>
              <w:jc w:val="left"/>
            </w:pPr>
            <w:r/>
            <w:r>
              <w:rPr>
                <w:rFonts w:ascii="Calibri" w:hAnsi="Calibri"/>
                <w:b w:val="0"/>
                <w:sz w:val="18"/>
              </w:rPr>
              <w:t>Reasoning/coding releases</w:t>
            </w:r>
          </w:p>
        </w:tc>
        <w:tc>
          <w:tcPr>
            <w:tcW w:type="dxa" w:w="3384"/>
            <w:vAlign w:val="center"/>
          </w:tcPr>
          <w:p>
            <w:pPr>
              <w:spacing w:after="0" w:line="252" w:lineRule="auto"/>
              <w:jc w:val="left"/>
            </w:pPr>
            <w:r/>
            <w:r>
              <w:rPr>
                <w:rFonts w:ascii="Calibri" w:hAnsi="Calibri"/>
                <w:b w:val="0"/>
                <w:sz w:val="18"/>
              </w:rPr>
              <w:t>Gemini 2.5 Pro / Claude 4-style improvements</w:t>
            </w:r>
          </w:p>
        </w:tc>
        <w:tc>
          <w:tcPr>
            <w:tcW w:type="dxa" w:w="3528"/>
            <w:vAlign w:val="center"/>
          </w:tcPr>
          <w:p>
            <w:pPr>
              <w:spacing w:after="0" w:line="252" w:lineRule="auto"/>
              <w:jc w:val="left"/>
            </w:pPr>
            <w:r/>
            <w:r>
              <w:rPr>
                <w:rFonts w:ascii="Calibri" w:hAnsi="Calibri"/>
                <w:b w:val="0"/>
                <w:sz w:val="18"/>
              </w:rPr>
              <w:t>Can justify 1.5-1.8 for coding, agentic, or reasoning-heavy workloads</w:t>
            </w:r>
          </w:p>
        </w:tc>
      </w:tr>
    </w:tbl>
    <w:p/>
    <w:p>
      <w:r>
        <w:t>Recommended workload-specific uplift:</w:t>
      </w:r>
    </w:p>
    <w:p>
      <w:pPr>
        <w:pStyle w:val="ListBullet"/>
        <w:spacing w:after="80"/>
      </w:pPr>
      <w:r>
        <w:t>General document workflows: 1.20-1.25x; use 1.25x base.</w:t>
      </w:r>
    </w:p>
    <w:p>
      <w:pPr>
        <w:pStyle w:val="ListBullet"/>
        <w:spacing w:after="80"/>
      </w:pPr>
      <w:r>
        <w:t>Summarization, extraction, classification: 1.05-1.25x.</w:t>
      </w:r>
    </w:p>
    <w:p>
      <w:pPr>
        <w:pStyle w:val="ListBullet"/>
        <w:spacing w:after="80"/>
      </w:pPr>
      <w:r>
        <w:t>Coding, agentic, tool-heavy, or reasoning workflows: 1.50-1.80x.</w:t>
      </w:r>
    </w:p>
    <w:p>
      <w:r>
        <w:t>If workload mix is unknown, use a blended estimate:</w:t>
      </w:r>
    </w:p>
    <w:p>
      <w:pPr>
        <w:spacing w:after="120"/>
        <w:ind w:left="360"/>
      </w:pPr>
      <w:r>
        <w:rPr>
          <w:rFonts w:ascii="Courier New" w:hAnsi="Courier New"/>
          <w:sz w:val="18"/>
        </w:rPr>
        <w:t>uplift_factor = share_doc * 1.20 + share_programming_or_agentic * 1.50 + share_other * 1.25</w:t>
      </w:r>
    </w:p>
    <w:p>
      <w:pPr>
        <w:spacing w:after="120"/>
        <w:ind w:left="360"/>
      </w:pPr>
      <w:r>
        <w:rPr>
          <w:rFonts w:ascii="Courier New" w:hAnsi="Courier New"/>
          <w:sz w:val="18"/>
        </w:rPr>
        <w:t>Default: 0.60 * 1.20 + 0.25 * 1.50 + 0.15 * 1.25 = 1.29; round to 1.25 conservative base</w:t>
      </w:r>
    </w:p>
    <w:p>
      <w:pPr>
        <w:pStyle w:val="Heading1"/>
      </w:pPr>
      <w:r>
        <w:t>Pricing Observations Used</w:t>
      </w:r>
    </w:p>
    <w:tbl>
      <w:tblPr>
        <w:tblStyle w:val="TableGrid"/>
        <w:tblW w:type="auto" w:w="0"/>
        <w:jc w:val="center"/>
        <w:tblLayout w:type="fixed"/>
        <w:tblLook w:firstColumn="1" w:firstRow="1" w:lastColumn="0" w:lastRow="0" w:noHBand="0" w:noVBand="1" w:val="04A0"/>
      </w:tblPr>
      <w:tblGrid>
        <w:gridCol w:w="1368"/>
        <w:gridCol w:w="2232"/>
        <w:gridCol w:w="1440"/>
        <w:gridCol w:w="1152"/>
        <w:gridCol w:w="1224"/>
        <w:gridCol w:w="1368"/>
      </w:tblGrid>
      <w:tr>
        <w:tc>
          <w:tcPr>
            <w:tcW w:type="dxa" w:w="1560"/>
            <w:vAlign w:val="center"/>
            <w:shd w:fill="F2F4F7"/>
          </w:tcPr>
          <w:p>
            <w:pPr>
              <w:spacing w:after="0" w:line="252" w:lineRule="auto"/>
              <w:jc w:val="left"/>
            </w:pPr>
            <w:r/>
            <w:r>
              <w:rPr>
                <w:rFonts w:ascii="Calibri" w:hAnsi="Calibri"/>
                <w:b/>
                <w:sz w:val="18"/>
              </w:rPr>
              <w:t>Provider</w:t>
            </w:r>
          </w:p>
        </w:tc>
        <w:tc>
          <w:tcPr>
            <w:tcW w:type="dxa" w:w="1560"/>
            <w:vAlign w:val="center"/>
            <w:shd w:fill="F2F4F7"/>
          </w:tcPr>
          <w:p>
            <w:pPr>
              <w:spacing w:after="0" w:line="252" w:lineRule="auto"/>
              <w:jc w:val="left"/>
            </w:pPr>
            <w:r/>
            <w:r>
              <w:rPr>
                <w:rFonts w:ascii="Calibri" w:hAnsi="Calibri"/>
                <w:b/>
                <w:sz w:val="18"/>
              </w:rPr>
              <w:t>Model</w:t>
            </w:r>
          </w:p>
        </w:tc>
        <w:tc>
          <w:tcPr>
            <w:tcW w:type="dxa" w:w="1560"/>
            <w:vAlign w:val="center"/>
            <w:shd w:fill="F2F4F7"/>
          </w:tcPr>
          <w:p>
            <w:pPr>
              <w:spacing w:after="0" w:line="252" w:lineRule="auto"/>
              <w:jc w:val="left"/>
            </w:pPr>
            <w:r/>
            <w:r>
              <w:rPr>
                <w:rFonts w:ascii="Calibri" w:hAnsi="Calibri"/>
                <w:b/>
                <w:sz w:val="18"/>
              </w:rPr>
              <w:t>Release date</w:t>
            </w:r>
          </w:p>
        </w:tc>
        <w:tc>
          <w:tcPr>
            <w:tcW w:type="dxa" w:w="1560"/>
            <w:vAlign w:val="center"/>
            <w:shd w:fill="F2F4F7"/>
          </w:tcPr>
          <w:p>
            <w:pPr>
              <w:spacing w:after="0" w:line="252" w:lineRule="auto"/>
              <w:jc w:val="left"/>
            </w:pPr>
            <w:r/>
            <w:r>
              <w:rPr>
                <w:rFonts w:ascii="Calibri" w:hAnsi="Calibri"/>
                <w:b/>
                <w:sz w:val="18"/>
              </w:rPr>
              <w:t>Input / 1M</w:t>
            </w:r>
          </w:p>
        </w:tc>
        <w:tc>
          <w:tcPr>
            <w:tcW w:type="dxa" w:w="1560"/>
            <w:vAlign w:val="center"/>
            <w:shd w:fill="F2F4F7"/>
          </w:tcPr>
          <w:p>
            <w:pPr>
              <w:spacing w:after="0" w:line="252" w:lineRule="auto"/>
              <w:jc w:val="left"/>
            </w:pPr>
            <w:r/>
            <w:r>
              <w:rPr>
                <w:rFonts w:ascii="Calibri" w:hAnsi="Calibri"/>
                <w:b/>
                <w:sz w:val="18"/>
              </w:rPr>
              <w:t>Output / 1M</w:t>
            </w:r>
          </w:p>
        </w:tc>
        <w:tc>
          <w:tcPr>
            <w:tcW w:type="dxa" w:w="1560"/>
            <w:vAlign w:val="center"/>
            <w:shd w:fill="F2F4F7"/>
          </w:tcPr>
          <w:p>
            <w:pPr>
              <w:spacing w:after="0" w:line="252" w:lineRule="auto"/>
              <w:jc w:val="left"/>
            </w:pPr>
            <w:r/>
            <w:r>
              <w:rPr>
                <w:rFonts w:ascii="Calibri" w:hAnsi="Calibri"/>
                <w:b/>
                <w:sz w:val="18"/>
              </w:rPr>
              <w:t>80/20 blend</w:t>
            </w:r>
          </w:p>
        </w:tc>
      </w:tr>
      <w:tr>
        <w:tc>
          <w:tcPr>
            <w:tcW w:type="dxa" w:w="1368"/>
            <w:vAlign w:val="center"/>
          </w:tcPr>
          <w:p>
            <w:pPr>
              <w:spacing w:after="0" w:line="252" w:lineRule="auto"/>
              <w:jc w:val="left"/>
            </w:pPr>
            <w:r/>
            <w:r>
              <w:rPr>
                <w:rFonts w:ascii="Calibri" w:hAnsi="Calibri"/>
                <w:b w:val="0"/>
                <w:sz w:val="18"/>
              </w:rPr>
              <w:t>OpenAI</w:t>
            </w:r>
          </w:p>
        </w:tc>
        <w:tc>
          <w:tcPr>
            <w:tcW w:type="dxa" w:w="2232"/>
            <w:vAlign w:val="center"/>
          </w:tcPr>
          <w:p>
            <w:pPr>
              <w:spacing w:after="0" w:line="252" w:lineRule="auto"/>
              <w:jc w:val="left"/>
            </w:pPr>
            <w:r/>
            <w:r>
              <w:rPr>
                <w:rFonts w:ascii="Calibri" w:hAnsi="Calibri"/>
                <w:b w:val="0"/>
                <w:sz w:val="18"/>
              </w:rPr>
              <w:t>GPT-4 8K</w:t>
            </w:r>
          </w:p>
        </w:tc>
        <w:tc>
          <w:tcPr>
            <w:tcW w:type="dxa" w:w="1440"/>
            <w:vAlign w:val="center"/>
          </w:tcPr>
          <w:p>
            <w:pPr>
              <w:spacing w:after="0" w:line="252" w:lineRule="auto"/>
              <w:jc w:val="left"/>
            </w:pPr>
            <w:r/>
            <w:r>
              <w:rPr>
                <w:rFonts w:ascii="Calibri" w:hAnsi="Calibri"/>
                <w:b w:val="0"/>
                <w:sz w:val="18"/>
              </w:rPr>
              <w:t>2023-03-14</w:t>
            </w:r>
          </w:p>
        </w:tc>
        <w:tc>
          <w:tcPr>
            <w:tcW w:type="dxa" w:w="1152"/>
            <w:vAlign w:val="center"/>
          </w:tcPr>
          <w:p>
            <w:pPr>
              <w:spacing w:after="0" w:line="252" w:lineRule="auto"/>
              <w:jc w:val="left"/>
            </w:pPr>
            <w:r/>
            <w:r>
              <w:rPr>
                <w:rFonts w:ascii="Calibri" w:hAnsi="Calibri"/>
                <w:b w:val="0"/>
                <w:sz w:val="18"/>
              </w:rPr>
              <w:t>$30</w:t>
            </w:r>
          </w:p>
        </w:tc>
        <w:tc>
          <w:tcPr>
            <w:tcW w:type="dxa" w:w="1224"/>
            <w:vAlign w:val="center"/>
          </w:tcPr>
          <w:p>
            <w:pPr>
              <w:spacing w:after="0" w:line="252" w:lineRule="auto"/>
              <w:jc w:val="left"/>
            </w:pPr>
            <w:r/>
            <w:r>
              <w:rPr>
                <w:rFonts w:ascii="Calibri" w:hAnsi="Calibri"/>
                <w:b w:val="0"/>
                <w:sz w:val="18"/>
              </w:rPr>
              <w:t>$60</w:t>
            </w:r>
          </w:p>
        </w:tc>
        <w:tc>
          <w:tcPr>
            <w:tcW w:type="dxa" w:w="1368"/>
            <w:vAlign w:val="center"/>
          </w:tcPr>
          <w:p>
            <w:pPr>
              <w:spacing w:after="0" w:line="252" w:lineRule="auto"/>
              <w:jc w:val="left"/>
            </w:pPr>
            <w:r/>
            <w:r>
              <w:rPr>
                <w:rFonts w:ascii="Calibri" w:hAnsi="Calibri"/>
                <w:b w:val="0"/>
                <w:sz w:val="18"/>
              </w:rPr>
              <w:t>$36</w:t>
            </w:r>
          </w:p>
        </w:tc>
      </w:tr>
      <w:tr>
        <w:tc>
          <w:tcPr>
            <w:tcW w:type="dxa" w:w="1368"/>
            <w:vAlign w:val="center"/>
          </w:tcPr>
          <w:p>
            <w:pPr>
              <w:spacing w:after="0" w:line="252" w:lineRule="auto"/>
              <w:jc w:val="left"/>
            </w:pPr>
            <w:r/>
            <w:r>
              <w:rPr>
                <w:rFonts w:ascii="Calibri" w:hAnsi="Calibri"/>
                <w:b w:val="0"/>
                <w:sz w:val="18"/>
              </w:rPr>
              <w:t>OpenAI</w:t>
            </w:r>
          </w:p>
        </w:tc>
        <w:tc>
          <w:tcPr>
            <w:tcW w:type="dxa" w:w="2232"/>
            <w:vAlign w:val="center"/>
          </w:tcPr>
          <w:p>
            <w:pPr>
              <w:spacing w:after="0" w:line="252" w:lineRule="auto"/>
              <w:jc w:val="left"/>
            </w:pPr>
            <w:r/>
            <w:r>
              <w:rPr>
                <w:rFonts w:ascii="Calibri" w:hAnsi="Calibri"/>
                <w:b w:val="0"/>
                <w:sz w:val="18"/>
              </w:rPr>
              <w:t>GPT-4 Turbo</w:t>
            </w:r>
          </w:p>
        </w:tc>
        <w:tc>
          <w:tcPr>
            <w:tcW w:type="dxa" w:w="1440"/>
            <w:vAlign w:val="center"/>
          </w:tcPr>
          <w:p>
            <w:pPr>
              <w:spacing w:after="0" w:line="252" w:lineRule="auto"/>
              <w:jc w:val="left"/>
            </w:pPr>
            <w:r/>
            <w:r>
              <w:rPr>
                <w:rFonts w:ascii="Calibri" w:hAnsi="Calibri"/>
                <w:b w:val="0"/>
                <w:sz w:val="18"/>
              </w:rPr>
              <w:t>2023-11-06</w:t>
            </w:r>
          </w:p>
        </w:tc>
        <w:tc>
          <w:tcPr>
            <w:tcW w:type="dxa" w:w="1152"/>
            <w:vAlign w:val="center"/>
          </w:tcPr>
          <w:p>
            <w:pPr>
              <w:spacing w:after="0" w:line="252" w:lineRule="auto"/>
              <w:jc w:val="left"/>
            </w:pPr>
            <w:r/>
            <w:r>
              <w:rPr>
                <w:rFonts w:ascii="Calibri" w:hAnsi="Calibri"/>
                <w:b w:val="0"/>
                <w:sz w:val="18"/>
              </w:rPr>
              <w:t>$10</w:t>
            </w:r>
          </w:p>
        </w:tc>
        <w:tc>
          <w:tcPr>
            <w:tcW w:type="dxa" w:w="1224"/>
            <w:vAlign w:val="center"/>
          </w:tcPr>
          <w:p>
            <w:pPr>
              <w:spacing w:after="0" w:line="252" w:lineRule="auto"/>
              <w:jc w:val="left"/>
            </w:pPr>
            <w:r/>
            <w:r>
              <w:rPr>
                <w:rFonts w:ascii="Calibri" w:hAnsi="Calibri"/>
                <w:b w:val="0"/>
                <w:sz w:val="18"/>
              </w:rPr>
              <w:t>$30</w:t>
            </w:r>
          </w:p>
        </w:tc>
        <w:tc>
          <w:tcPr>
            <w:tcW w:type="dxa" w:w="1368"/>
            <w:vAlign w:val="center"/>
          </w:tcPr>
          <w:p>
            <w:pPr>
              <w:spacing w:after="0" w:line="252" w:lineRule="auto"/>
              <w:jc w:val="left"/>
            </w:pPr>
            <w:r/>
            <w:r>
              <w:rPr>
                <w:rFonts w:ascii="Calibri" w:hAnsi="Calibri"/>
                <w:b w:val="0"/>
                <w:sz w:val="18"/>
              </w:rPr>
              <w:t>$14</w:t>
            </w:r>
          </w:p>
        </w:tc>
      </w:tr>
      <w:tr>
        <w:tc>
          <w:tcPr>
            <w:tcW w:type="dxa" w:w="1368"/>
            <w:vAlign w:val="center"/>
          </w:tcPr>
          <w:p>
            <w:pPr>
              <w:spacing w:after="0" w:line="252" w:lineRule="auto"/>
              <w:jc w:val="left"/>
            </w:pPr>
            <w:r/>
            <w:r>
              <w:rPr>
                <w:rFonts w:ascii="Calibri" w:hAnsi="Calibri"/>
                <w:b w:val="0"/>
                <w:sz w:val="18"/>
              </w:rPr>
              <w:t>Anthropic</w:t>
            </w:r>
          </w:p>
        </w:tc>
        <w:tc>
          <w:tcPr>
            <w:tcW w:type="dxa" w:w="2232"/>
            <w:vAlign w:val="center"/>
          </w:tcPr>
          <w:p>
            <w:pPr>
              <w:spacing w:after="0" w:line="252" w:lineRule="auto"/>
              <w:jc w:val="left"/>
            </w:pPr>
            <w:r/>
            <w:r>
              <w:rPr>
                <w:rFonts w:ascii="Calibri" w:hAnsi="Calibri"/>
                <w:b w:val="0"/>
                <w:sz w:val="18"/>
              </w:rPr>
              <w:t>Claude 3 Opus</w:t>
            </w:r>
          </w:p>
        </w:tc>
        <w:tc>
          <w:tcPr>
            <w:tcW w:type="dxa" w:w="1440"/>
            <w:vAlign w:val="center"/>
          </w:tcPr>
          <w:p>
            <w:pPr>
              <w:spacing w:after="0" w:line="252" w:lineRule="auto"/>
              <w:jc w:val="left"/>
            </w:pPr>
            <w:r/>
            <w:r>
              <w:rPr>
                <w:rFonts w:ascii="Calibri" w:hAnsi="Calibri"/>
                <w:b w:val="0"/>
                <w:sz w:val="18"/>
              </w:rPr>
              <w:t>2024-03-04</w:t>
            </w:r>
          </w:p>
        </w:tc>
        <w:tc>
          <w:tcPr>
            <w:tcW w:type="dxa" w:w="1152"/>
            <w:vAlign w:val="center"/>
          </w:tcPr>
          <w:p>
            <w:pPr>
              <w:spacing w:after="0" w:line="252" w:lineRule="auto"/>
              <w:jc w:val="left"/>
            </w:pPr>
            <w:r/>
            <w:r>
              <w:rPr>
                <w:rFonts w:ascii="Calibri" w:hAnsi="Calibri"/>
                <w:b w:val="0"/>
                <w:sz w:val="18"/>
              </w:rPr>
              <w:t>$15</w:t>
            </w:r>
          </w:p>
        </w:tc>
        <w:tc>
          <w:tcPr>
            <w:tcW w:type="dxa" w:w="1224"/>
            <w:vAlign w:val="center"/>
          </w:tcPr>
          <w:p>
            <w:pPr>
              <w:spacing w:after="0" w:line="252" w:lineRule="auto"/>
              <w:jc w:val="left"/>
            </w:pPr>
            <w:r/>
            <w:r>
              <w:rPr>
                <w:rFonts w:ascii="Calibri" w:hAnsi="Calibri"/>
                <w:b w:val="0"/>
                <w:sz w:val="18"/>
              </w:rPr>
              <w:t>$75</w:t>
            </w:r>
          </w:p>
        </w:tc>
        <w:tc>
          <w:tcPr>
            <w:tcW w:type="dxa" w:w="1368"/>
            <w:vAlign w:val="center"/>
          </w:tcPr>
          <w:p>
            <w:pPr>
              <w:spacing w:after="0" w:line="252" w:lineRule="auto"/>
              <w:jc w:val="left"/>
            </w:pPr>
            <w:r/>
            <w:r>
              <w:rPr>
                <w:rFonts w:ascii="Calibri" w:hAnsi="Calibri"/>
                <w:b w:val="0"/>
                <w:sz w:val="18"/>
              </w:rPr>
              <w:t>$27</w:t>
            </w:r>
          </w:p>
        </w:tc>
      </w:tr>
      <w:tr>
        <w:tc>
          <w:tcPr>
            <w:tcW w:type="dxa" w:w="1368"/>
            <w:vAlign w:val="center"/>
          </w:tcPr>
          <w:p>
            <w:pPr>
              <w:spacing w:after="0" w:line="252" w:lineRule="auto"/>
              <w:jc w:val="left"/>
            </w:pPr>
            <w:r/>
            <w:r>
              <w:rPr>
                <w:rFonts w:ascii="Calibri" w:hAnsi="Calibri"/>
                <w:b w:val="0"/>
                <w:sz w:val="18"/>
              </w:rPr>
              <w:t>OpenAI</w:t>
            </w:r>
          </w:p>
        </w:tc>
        <w:tc>
          <w:tcPr>
            <w:tcW w:type="dxa" w:w="2232"/>
            <w:vAlign w:val="center"/>
          </w:tcPr>
          <w:p>
            <w:pPr>
              <w:spacing w:after="0" w:line="252" w:lineRule="auto"/>
              <w:jc w:val="left"/>
            </w:pPr>
            <w:r/>
            <w:r>
              <w:rPr>
                <w:rFonts w:ascii="Calibri" w:hAnsi="Calibri"/>
                <w:b w:val="0"/>
                <w:sz w:val="18"/>
              </w:rPr>
              <w:t>GPT-4o</w:t>
            </w:r>
          </w:p>
        </w:tc>
        <w:tc>
          <w:tcPr>
            <w:tcW w:type="dxa" w:w="1440"/>
            <w:vAlign w:val="center"/>
          </w:tcPr>
          <w:p>
            <w:pPr>
              <w:spacing w:after="0" w:line="252" w:lineRule="auto"/>
              <w:jc w:val="left"/>
            </w:pPr>
            <w:r/>
            <w:r>
              <w:rPr>
                <w:rFonts w:ascii="Calibri" w:hAnsi="Calibri"/>
                <w:b w:val="0"/>
                <w:sz w:val="18"/>
              </w:rPr>
              <w:t>2024-05-13</w:t>
            </w:r>
          </w:p>
        </w:tc>
        <w:tc>
          <w:tcPr>
            <w:tcW w:type="dxa" w:w="1152"/>
            <w:vAlign w:val="center"/>
          </w:tcPr>
          <w:p>
            <w:pPr>
              <w:spacing w:after="0" w:line="252" w:lineRule="auto"/>
              <w:jc w:val="left"/>
            </w:pPr>
            <w:r/>
            <w:r>
              <w:rPr>
                <w:rFonts w:ascii="Calibri" w:hAnsi="Calibri"/>
                <w:b w:val="0"/>
                <w:sz w:val="18"/>
              </w:rPr>
              <w:t>$5</w:t>
            </w:r>
          </w:p>
        </w:tc>
        <w:tc>
          <w:tcPr>
            <w:tcW w:type="dxa" w:w="1224"/>
            <w:vAlign w:val="center"/>
          </w:tcPr>
          <w:p>
            <w:pPr>
              <w:spacing w:after="0" w:line="252" w:lineRule="auto"/>
              <w:jc w:val="left"/>
            </w:pPr>
            <w:r/>
            <w:r>
              <w:rPr>
                <w:rFonts w:ascii="Calibri" w:hAnsi="Calibri"/>
                <w:b w:val="0"/>
                <w:sz w:val="18"/>
              </w:rPr>
              <w:t>$15</w:t>
            </w:r>
          </w:p>
        </w:tc>
        <w:tc>
          <w:tcPr>
            <w:tcW w:type="dxa" w:w="1368"/>
            <w:vAlign w:val="center"/>
          </w:tcPr>
          <w:p>
            <w:pPr>
              <w:spacing w:after="0" w:line="252" w:lineRule="auto"/>
              <w:jc w:val="left"/>
            </w:pPr>
            <w:r/>
            <w:r>
              <w:rPr>
                <w:rFonts w:ascii="Calibri" w:hAnsi="Calibri"/>
                <w:b w:val="0"/>
                <w:sz w:val="18"/>
              </w:rPr>
              <w:t>$7</w:t>
            </w:r>
          </w:p>
        </w:tc>
      </w:tr>
      <w:tr>
        <w:tc>
          <w:tcPr>
            <w:tcW w:type="dxa" w:w="1368"/>
            <w:vAlign w:val="center"/>
          </w:tcPr>
          <w:p>
            <w:pPr>
              <w:spacing w:after="0" w:line="252" w:lineRule="auto"/>
              <w:jc w:val="left"/>
            </w:pPr>
            <w:r/>
            <w:r>
              <w:rPr>
                <w:rFonts w:ascii="Calibri" w:hAnsi="Calibri"/>
                <w:b w:val="0"/>
                <w:sz w:val="18"/>
              </w:rPr>
              <w:t>Anthropic</w:t>
            </w:r>
          </w:p>
        </w:tc>
        <w:tc>
          <w:tcPr>
            <w:tcW w:type="dxa" w:w="2232"/>
            <w:vAlign w:val="center"/>
          </w:tcPr>
          <w:p>
            <w:pPr>
              <w:spacing w:after="0" w:line="252" w:lineRule="auto"/>
              <w:jc w:val="left"/>
            </w:pPr>
            <w:r/>
            <w:r>
              <w:rPr>
                <w:rFonts w:ascii="Calibri" w:hAnsi="Calibri"/>
                <w:b w:val="0"/>
                <w:sz w:val="18"/>
              </w:rPr>
              <w:t>Claude 3.5 Sonnet</w:t>
            </w:r>
          </w:p>
        </w:tc>
        <w:tc>
          <w:tcPr>
            <w:tcW w:type="dxa" w:w="1440"/>
            <w:vAlign w:val="center"/>
          </w:tcPr>
          <w:p>
            <w:pPr>
              <w:spacing w:after="0" w:line="252" w:lineRule="auto"/>
              <w:jc w:val="left"/>
            </w:pPr>
            <w:r/>
            <w:r>
              <w:rPr>
                <w:rFonts w:ascii="Calibri" w:hAnsi="Calibri"/>
                <w:b w:val="0"/>
                <w:sz w:val="18"/>
              </w:rPr>
              <w:t>2024-06-20</w:t>
            </w:r>
          </w:p>
        </w:tc>
        <w:tc>
          <w:tcPr>
            <w:tcW w:type="dxa" w:w="1152"/>
            <w:vAlign w:val="center"/>
          </w:tcPr>
          <w:p>
            <w:pPr>
              <w:spacing w:after="0" w:line="252" w:lineRule="auto"/>
              <w:jc w:val="left"/>
            </w:pPr>
            <w:r/>
            <w:r>
              <w:rPr>
                <w:rFonts w:ascii="Calibri" w:hAnsi="Calibri"/>
                <w:b w:val="0"/>
                <w:sz w:val="18"/>
              </w:rPr>
              <w:t>$3</w:t>
            </w:r>
          </w:p>
        </w:tc>
        <w:tc>
          <w:tcPr>
            <w:tcW w:type="dxa" w:w="1224"/>
            <w:vAlign w:val="center"/>
          </w:tcPr>
          <w:p>
            <w:pPr>
              <w:spacing w:after="0" w:line="252" w:lineRule="auto"/>
              <w:jc w:val="left"/>
            </w:pPr>
            <w:r/>
            <w:r>
              <w:rPr>
                <w:rFonts w:ascii="Calibri" w:hAnsi="Calibri"/>
                <w:b w:val="0"/>
                <w:sz w:val="18"/>
              </w:rPr>
              <w:t>$15</w:t>
            </w:r>
          </w:p>
        </w:tc>
        <w:tc>
          <w:tcPr>
            <w:tcW w:type="dxa" w:w="1368"/>
            <w:vAlign w:val="center"/>
          </w:tcPr>
          <w:p>
            <w:pPr>
              <w:spacing w:after="0" w:line="252" w:lineRule="auto"/>
              <w:jc w:val="left"/>
            </w:pPr>
            <w:r/>
            <w:r>
              <w:rPr>
                <w:rFonts w:ascii="Calibri" w:hAnsi="Calibri"/>
                <w:b w:val="0"/>
                <w:sz w:val="18"/>
              </w:rPr>
              <w:t>$5.40</w:t>
            </w:r>
          </w:p>
        </w:tc>
      </w:tr>
      <w:tr>
        <w:tc>
          <w:tcPr>
            <w:tcW w:type="dxa" w:w="1368"/>
            <w:vAlign w:val="center"/>
          </w:tcPr>
          <w:p>
            <w:pPr>
              <w:spacing w:after="0" w:line="252" w:lineRule="auto"/>
              <w:jc w:val="left"/>
            </w:pPr>
            <w:r/>
            <w:r>
              <w:rPr>
                <w:rFonts w:ascii="Calibri" w:hAnsi="Calibri"/>
                <w:b w:val="0"/>
                <w:sz w:val="18"/>
              </w:rPr>
              <w:t>Anthropic</w:t>
            </w:r>
          </w:p>
        </w:tc>
        <w:tc>
          <w:tcPr>
            <w:tcW w:type="dxa" w:w="2232"/>
            <w:vAlign w:val="center"/>
          </w:tcPr>
          <w:p>
            <w:pPr>
              <w:spacing w:after="0" w:line="252" w:lineRule="auto"/>
              <w:jc w:val="left"/>
            </w:pPr>
            <w:r/>
            <w:r>
              <w:rPr>
                <w:rFonts w:ascii="Calibri" w:hAnsi="Calibri"/>
                <w:b w:val="0"/>
                <w:sz w:val="18"/>
              </w:rPr>
              <w:t>Claude 3.7 Sonnet</w:t>
            </w:r>
          </w:p>
        </w:tc>
        <w:tc>
          <w:tcPr>
            <w:tcW w:type="dxa" w:w="1440"/>
            <w:vAlign w:val="center"/>
          </w:tcPr>
          <w:p>
            <w:pPr>
              <w:spacing w:after="0" w:line="252" w:lineRule="auto"/>
              <w:jc w:val="left"/>
            </w:pPr>
            <w:r/>
            <w:r>
              <w:rPr>
                <w:rFonts w:ascii="Calibri" w:hAnsi="Calibri"/>
                <w:b w:val="0"/>
                <w:sz w:val="18"/>
              </w:rPr>
              <w:t>2025-02-24</w:t>
            </w:r>
          </w:p>
        </w:tc>
        <w:tc>
          <w:tcPr>
            <w:tcW w:type="dxa" w:w="1152"/>
            <w:vAlign w:val="center"/>
          </w:tcPr>
          <w:p>
            <w:pPr>
              <w:spacing w:after="0" w:line="252" w:lineRule="auto"/>
              <w:jc w:val="left"/>
            </w:pPr>
            <w:r/>
            <w:r>
              <w:rPr>
                <w:rFonts w:ascii="Calibri" w:hAnsi="Calibri"/>
                <w:b w:val="0"/>
                <w:sz w:val="18"/>
              </w:rPr>
              <w:t>$3</w:t>
            </w:r>
          </w:p>
        </w:tc>
        <w:tc>
          <w:tcPr>
            <w:tcW w:type="dxa" w:w="1224"/>
            <w:vAlign w:val="center"/>
          </w:tcPr>
          <w:p>
            <w:pPr>
              <w:spacing w:after="0" w:line="252" w:lineRule="auto"/>
              <w:jc w:val="left"/>
            </w:pPr>
            <w:r/>
            <w:r>
              <w:rPr>
                <w:rFonts w:ascii="Calibri" w:hAnsi="Calibri"/>
                <w:b w:val="0"/>
                <w:sz w:val="18"/>
              </w:rPr>
              <w:t>$15</w:t>
            </w:r>
          </w:p>
        </w:tc>
        <w:tc>
          <w:tcPr>
            <w:tcW w:type="dxa" w:w="1368"/>
            <w:vAlign w:val="center"/>
          </w:tcPr>
          <w:p>
            <w:pPr>
              <w:spacing w:after="0" w:line="252" w:lineRule="auto"/>
              <w:jc w:val="left"/>
            </w:pPr>
            <w:r/>
            <w:r>
              <w:rPr>
                <w:rFonts w:ascii="Calibri" w:hAnsi="Calibri"/>
                <w:b w:val="0"/>
                <w:sz w:val="18"/>
              </w:rPr>
              <w:t>$5.40</w:t>
            </w:r>
          </w:p>
        </w:tc>
      </w:tr>
      <w:tr>
        <w:tc>
          <w:tcPr>
            <w:tcW w:type="dxa" w:w="1368"/>
            <w:vAlign w:val="center"/>
          </w:tcPr>
          <w:p>
            <w:pPr>
              <w:spacing w:after="0" w:line="252" w:lineRule="auto"/>
              <w:jc w:val="left"/>
            </w:pPr>
            <w:r/>
            <w:r>
              <w:rPr>
                <w:rFonts w:ascii="Calibri" w:hAnsi="Calibri"/>
                <w:b w:val="0"/>
                <w:sz w:val="18"/>
              </w:rPr>
              <w:t>Google</w:t>
            </w:r>
          </w:p>
        </w:tc>
        <w:tc>
          <w:tcPr>
            <w:tcW w:type="dxa" w:w="2232"/>
            <w:vAlign w:val="center"/>
          </w:tcPr>
          <w:p>
            <w:pPr>
              <w:spacing w:after="0" w:line="252" w:lineRule="auto"/>
              <w:jc w:val="left"/>
            </w:pPr>
            <w:r/>
            <w:r>
              <w:rPr>
                <w:rFonts w:ascii="Calibri" w:hAnsi="Calibri"/>
                <w:b w:val="0"/>
                <w:sz w:val="18"/>
              </w:rPr>
              <w:t>Gemini 2.5 Pro</w:t>
            </w:r>
          </w:p>
        </w:tc>
        <w:tc>
          <w:tcPr>
            <w:tcW w:type="dxa" w:w="1440"/>
            <w:vAlign w:val="center"/>
          </w:tcPr>
          <w:p>
            <w:pPr>
              <w:spacing w:after="0" w:line="252" w:lineRule="auto"/>
              <w:jc w:val="left"/>
            </w:pPr>
            <w:r/>
            <w:r>
              <w:rPr>
                <w:rFonts w:ascii="Calibri" w:hAnsi="Calibri"/>
                <w:b w:val="0"/>
                <w:sz w:val="18"/>
              </w:rPr>
              <w:t>2025-04-04</w:t>
            </w:r>
          </w:p>
        </w:tc>
        <w:tc>
          <w:tcPr>
            <w:tcW w:type="dxa" w:w="1152"/>
            <w:vAlign w:val="center"/>
          </w:tcPr>
          <w:p>
            <w:pPr>
              <w:spacing w:after="0" w:line="252" w:lineRule="auto"/>
              <w:jc w:val="left"/>
            </w:pPr>
            <w:r/>
            <w:r>
              <w:rPr>
                <w:rFonts w:ascii="Calibri" w:hAnsi="Calibri"/>
                <w:b w:val="0"/>
                <w:sz w:val="18"/>
              </w:rPr>
              <w:t>$1.25</w:t>
            </w:r>
          </w:p>
        </w:tc>
        <w:tc>
          <w:tcPr>
            <w:tcW w:type="dxa" w:w="1224"/>
            <w:vAlign w:val="center"/>
          </w:tcPr>
          <w:p>
            <w:pPr>
              <w:spacing w:after="0" w:line="252" w:lineRule="auto"/>
              <w:jc w:val="left"/>
            </w:pPr>
            <w:r/>
            <w:r>
              <w:rPr>
                <w:rFonts w:ascii="Calibri" w:hAnsi="Calibri"/>
                <w:b w:val="0"/>
                <w:sz w:val="18"/>
              </w:rPr>
              <w:t>$10</w:t>
            </w:r>
          </w:p>
        </w:tc>
        <w:tc>
          <w:tcPr>
            <w:tcW w:type="dxa" w:w="1368"/>
            <w:vAlign w:val="center"/>
          </w:tcPr>
          <w:p>
            <w:pPr>
              <w:spacing w:after="0" w:line="252" w:lineRule="auto"/>
              <w:jc w:val="left"/>
            </w:pPr>
            <w:r/>
            <w:r>
              <w:rPr>
                <w:rFonts w:ascii="Calibri" w:hAnsi="Calibri"/>
                <w:b w:val="0"/>
                <w:sz w:val="18"/>
              </w:rPr>
              <w:t>$3</w:t>
            </w:r>
          </w:p>
        </w:tc>
      </w:tr>
      <w:tr>
        <w:tc>
          <w:tcPr>
            <w:tcW w:type="dxa" w:w="1368"/>
            <w:vAlign w:val="center"/>
          </w:tcPr>
          <w:p>
            <w:pPr>
              <w:spacing w:after="0" w:line="252" w:lineRule="auto"/>
              <w:jc w:val="left"/>
            </w:pPr>
            <w:r/>
            <w:r>
              <w:rPr>
                <w:rFonts w:ascii="Calibri" w:hAnsi="Calibri"/>
                <w:b w:val="0"/>
                <w:sz w:val="18"/>
              </w:rPr>
              <w:t>Anthropic</w:t>
            </w:r>
          </w:p>
        </w:tc>
        <w:tc>
          <w:tcPr>
            <w:tcW w:type="dxa" w:w="2232"/>
            <w:vAlign w:val="center"/>
          </w:tcPr>
          <w:p>
            <w:pPr>
              <w:spacing w:after="0" w:line="252" w:lineRule="auto"/>
              <w:jc w:val="left"/>
            </w:pPr>
            <w:r/>
            <w:r>
              <w:rPr>
                <w:rFonts w:ascii="Calibri" w:hAnsi="Calibri"/>
                <w:b w:val="0"/>
                <w:sz w:val="18"/>
              </w:rPr>
              <w:t>Claude Sonnet 4</w:t>
            </w:r>
          </w:p>
        </w:tc>
        <w:tc>
          <w:tcPr>
            <w:tcW w:type="dxa" w:w="1440"/>
            <w:vAlign w:val="center"/>
          </w:tcPr>
          <w:p>
            <w:pPr>
              <w:spacing w:after="0" w:line="252" w:lineRule="auto"/>
              <w:jc w:val="left"/>
            </w:pPr>
            <w:r/>
            <w:r>
              <w:rPr>
                <w:rFonts w:ascii="Calibri" w:hAnsi="Calibri"/>
                <w:b w:val="0"/>
                <w:sz w:val="18"/>
              </w:rPr>
              <w:t>2025-05-22</w:t>
            </w:r>
          </w:p>
        </w:tc>
        <w:tc>
          <w:tcPr>
            <w:tcW w:type="dxa" w:w="1152"/>
            <w:vAlign w:val="center"/>
          </w:tcPr>
          <w:p>
            <w:pPr>
              <w:spacing w:after="0" w:line="252" w:lineRule="auto"/>
              <w:jc w:val="left"/>
            </w:pPr>
            <w:r/>
            <w:r>
              <w:rPr>
                <w:rFonts w:ascii="Calibri" w:hAnsi="Calibri"/>
                <w:b w:val="0"/>
                <w:sz w:val="18"/>
              </w:rPr>
              <w:t>$3</w:t>
            </w:r>
          </w:p>
        </w:tc>
        <w:tc>
          <w:tcPr>
            <w:tcW w:type="dxa" w:w="1224"/>
            <w:vAlign w:val="center"/>
          </w:tcPr>
          <w:p>
            <w:pPr>
              <w:spacing w:after="0" w:line="252" w:lineRule="auto"/>
              <w:jc w:val="left"/>
            </w:pPr>
            <w:r/>
            <w:r>
              <w:rPr>
                <w:rFonts w:ascii="Calibri" w:hAnsi="Calibri"/>
                <w:b w:val="0"/>
                <w:sz w:val="18"/>
              </w:rPr>
              <w:t>$15</w:t>
            </w:r>
          </w:p>
        </w:tc>
        <w:tc>
          <w:tcPr>
            <w:tcW w:type="dxa" w:w="1368"/>
            <w:vAlign w:val="center"/>
          </w:tcPr>
          <w:p>
            <w:pPr>
              <w:spacing w:after="0" w:line="252" w:lineRule="auto"/>
              <w:jc w:val="left"/>
            </w:pPr>
            <w:r/>
            <w:r>
              <w:rPr>
                <w:rFonts w:ascii="Calibri" w:hAnsi="Calibri"/>
                <w:b w:val="0"/>
                <w:sz w:val="18"/>
              </w:rPr>
              <w:t>$5.40</w:t>
            </w:r>
          </w:p>
        </w:tc>
      </w:tr>
      <w:tr>
        <w:tc>
          <w:tcPr>
            <w:tcW w:type="dxa" w:w="1368"/>
            <w:vAlign w:val="center"/>
          </w:tcPr>
          <w:p>
            <w:pPr>
              <w:spacing w:after="0" w:line="252" w:lineRule="auto"/>
              <w:jc w:val="left"/>
            </w:pPr>
            <w:r/>
            <w:r>
              <w:rPr>
                <w:rFonts w:ascii="Calibri" w:hAnsi="Calibri"/>
                <w:b w:val="0"/>
                <w:sz w:val="18"/>
              </w:rPr>
              <w:t>OpenAI</w:t>
            </w:r>
          </w:p>
        </w:tc>
        <w:tc>
          <w:tcPr>
            <w:tcW w:type="dxa" w:w="2232"/>
            <w:vAlign w:val="center"/>
          </w:tcPr>
          <w:p>
            <w:pPr>
              <w:spacing w:after="0" w:line="252" w:lineRule="auto"/>
              <w:jc w:val="left"/>
            </w:pPr>
            <w:r/>
            <w:r>
              <w:rPr>
                <w:rFonts w:ascii="Calibri" w:hAnsi="Calibri"/>
                <w:b w:val="0"/>
                <w:sz w:val="18"/>
              </w:rPr>
              <w:t>GPT-5</w:t>
            </w:r>
          </w:p>
        </w:tc>
        <w:tc>
          <w:tcPr>
            <w:tcW w:type="dxa" w:w="1440"/>
            <w:vAlign w:val="center"/>
          </w:tcPr>
          <w:p>
            <w:pPr>
              <w:spacing w:after="0" w:line="252" w:lineRule="auto"/>
              <w:jc w:val="left"/>
            </w:pPr>
            <w:r/>
            <w:r>
              <w:rPr>
                <w:rFonts w:ascii="Calibri" w:hAnsi="Calibri"/>
                <w:b w:val="0"/>
                <w:sz w:val="18"/>
              </w:rPr>
              <w:t>2025-08-07</w:t>
            </w:r>
          </w:p>
        </w:tc>
        <w:tc>
          <w:tcPr>
            <w:tcW w:type="dxa" w:w="1152"/>
            <w:vAlign w:val="center"/>
          </w:tcPr>
          <w:p>
            <w:pPr>
              <w:spacing w:after="0" w:line="252" w:lineRule="auto"/>
              <w:jc w:val="left"/>
            </w:pPr>
            <w:r/>
            <w:r>
              <w:rPr>
                <w:rFonts w:ascii="Calibri" w:hAnsi="Calibri"/>
                <w:b w:val="0"/>
                <w:sz w:val="18"/>
              </w:rPr>
              <w:t>$1.25</w:t>
            </w:r>
          </w:p>
        </w:tc>
        <w:tc>
          <w:tcPr>
            <w:tcW w:type="dxa" w:w="1224"/>
            <w:vAlign w:val="center"/>
          </w:tcPr>
          <w:p>
            <w:pPr>
              <w:spacing w:after="0" w:line="252" w:lineRule="auto"/>
              <w:jc w:val="left"/>
            </w:pPr>
            <w:r/>
            <w:r>
              <w:rPr>
                <w:rFonts w:ascii="Calibri" w:hAnsi="Calibri"/>
                <w:b w:val="0"/>
                <w:sz w:val="18"/>
              </w:rPr>
              <w:t>$10</w:t>
            </w:r>
          </w:p>
        </w:tc>
        <w:tc>
          <w:tcPr>
            <w:tcW w:type="dxa" w:w="1368"/>
            <w:vAlign w:val="center"/>
          </w:tcPr>
          <w:p>
            <w:pPr>
              <w:spacing w:after="0" w:line="252" w:lineRule="auto"/>
              <w:jc w:val="left"/>
            </w:pPr>
            <w:r/>
            <w:r>
              <w:rPr>
                <w:rFonts w:ascii="Calibri" w:hAnsi="Calibri"/>
                <w:b w:val="0"/>
                <w:sz w:val="18"/>
              </w:rPr>
              <w:t>$3</w:t>
            </w:r>
          </w:p>
        </w:tc>
      </w:tr>
    </w:tbl>
    <w:p/>
    <w:p>
      <w:pPr>
        <w:pStyle w:val="Heading1"/>
      </w:pPr>
      <w:r>
        <w:t>Data Sources</w:t>
      </w:r>
    </w:p>
    <w:p>
      <w:pPr>
        <w:pStyle w:val="ListBullet"/>
        <w:spacing w:after="80"/>
      </w:pPr>
      <w:r>
        <w:t>OpenAI GPT-5.4 and GPT-5.4 Pro launch/pricing: https://openai.com/index/introducing-gpt-5-4/</w:t>
      </w:r>
    </w:p>
    <w:p>
      <w:pPr>
        <w:pStyle w:val="ListBullet"/>
        <w:spacing w:after="80"/>
      </w:pPr>
      <w:r>
        <w:t>OpenAI GPT-5.4 Pro model/pricing page: https://developers.openai.com/api/docs/models/gpt-5.4-pro</w:t>
      </w:r>
    </w:p>
    <w:p>
      <w:pPr>
        <w:pStyle w:val="ListBullet"/>
        <w:spacing w:after="80"/>
      </w:pPr>
      <w:r>
        <w:t>OpenAI GPT-4 / GPT-4 Turbo pricing: https://help.openai.com/en/articles/7127956-how-much-does-gpt-4-cost</w:t>
      </w:r>
    </w:p>
    <w:p>
      <w:pPr>
        <w:pStyle w:val="ListBullet"/>
        <w:spacing w:after="80"/>
      </w:pPr>
      <w:r>
        <w:t>OpenAI GPT-4o launch/API pricing: https://community.openai.com/t/announcing-gpt-4o-in-the-api/744700</w:t>
      </w:r>
    </w:p>
    <w:p>
      <w:pPr>
        <w:pStyle w:val="ListBullet"/>
        <w:spacing w:after="80"/>
      </w:pPr>
      <w:r>
        <w:t>OpenAI GPT-5 developer pricing: https://openai.com/index/introducing-gpt-5-for-developers</w:t>
      </w:r>
    </w:p>
    <w:p>
      <w:pPr>
        <w:pStyle w:val="ListBullet"/>
        <w:spacing w:after="80"/>
      </w:pPr>
      <w:r>
        <w:t>Anthropic Claude 3 family launch pricing: https://www.anthropic.com/research/claude-3-family</w:t>
      </w:r>
    </w:p>
    <w:p>
      <w:pPr>
        <w:pStyle w:val="ListBullet"/>
        <w:spacing w:after="80"/>
      </w:pPr>
      <w:r>
        <w:t>Anthropic Claude 3.5 Sonnet launch pricing: https://www.anthropic.com/news/claude-3-5-sonnet</w:t>
      </w:r>
    </w:p>
    <w:p>
      <w:pPr>
        <w:pStyle w:val="ListBullet"/>
        <w:spacing w:after="80"/>
      </w:pPr>
      <w:r>
        <w:t>Anthropic Claude 3.7 Sonnet launch pricing: https://www.anthropic.com/news/claude-3-7-sonnet</w:t>
      </w:r>
    </w:p>
    <w:p>
      <w:pPr>
        <w:pStyle w:val="ListBullet"/>
        <w:spacing w:after="80"/>
      </w:pPr>
      <w:r>
        <w:t>Anthropic Claude 4 launch pricing: https://www.anthropic.com/news/claude-4</w:t>
      </w:r>
    </w:p>
    <w:p>
      <w:pPr>
        <w:pStyle w:val="ListBullet"/>
        <w:spacing w:after="80"/>
      </w:pPr>
      <w:r>
        <w:t>Gemini 2.5 Pro launch pricing report: https://techcrunch.com/2025/04/04/gemini-2-5-pro-is-googles-most-expensive-ai-model-yet/</w:t>
      </w:r>
    </w:p>
    <w:p>
      <w:pPr>
        <w:pStyle w:val="ListBullet"/>
        <w:spacing w:after="80"/>
      </w:pPr>
      <w:r>
        <w:t>OpenRouter usage/market-share rankings: https://openrouter.ai/rankings#market-share</w:t>
      </w:r>
    </w:p>
    <w:p>
      <w:pPr>
        <w:pStyle w:val="ListBullet"/>
        <w:spacing w:after="80"/>
      </w:pPr>
      <w:r>
        <w:t>OpenRouter State of AI usage study: https://openrouter.ai/state-of-ai</w:t>
      </w:r>
    </w:p>
    <w:p>
      <w:pPr>
        <w:pStyle w:val="Heading1"/>
      </w:pPr>
      <w:r>
        <w:t>Planning Note</w:t>
      </w:r>
    </w:p>
    <w:p>
      <w:r>
        <w:t>Do not fit both price decay and release quality solely from the same token-price series. Prices reflect capability, provider strategy, inference efficiency, competitive positioning, and margin pressure. Use price observations to estimate competitive decay, benchmark/task evals to estimate quality uplift, and OpenRouter market share as an adoption weight.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Revenue inference assumptions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