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Project description</w:t>
      </w:r>
    </w:p>
    <w:p>
      <w:pPr>
        <w:spacing w:after="120"/>
      </w:pPr>
      <w:r>
        <w:t xml:space="preserve">Optimization of a 6-month operating policy (1 June 2026 → 1 December 2026) for a pair of 100-MW data centers in the ERCOT region — Houston (HB_HOUSTON) and West Texas (HB_WEST) — covering allocation of compute capacity between training and inference, timing of new model releases, and procurement of grid power. The framework combines a deterministic linear program (LP) solving each hour's decisions for a given (training cadence, procurement) policy with a Monte-Carlo wrapper that simulates joint price paths and selects the policy maximizing expected profit under uncertainty.</w:t>
      </w:r>
    </w:p>
    <w:p>
      <w:pPr>
        <w:pStyle w:val="Heading1"/>
      </w:pPr>
      <w:r>
        <w:rPr>
          <w:b/>
          <w:bCs/>
        </w:rPr>
        <w:t xml:space="preserve">Project setup</w:t>
      </w:r>
    </w:p>
    <w:p>
      <w:pPr>
        <w:pStyle w:val="Heading2"/>
      </w:pPr>
      <w:r>
        <w:rPr>
          <w:b/>
          <w:bCs/>
        </w:rPr>
        <w:t xml:space="preserve">3 main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 vs. inference compute split each hour at each 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 procurement at each site: RT LMP vs. tolling (Houston only — no gas plant available at West) and BESS dispatch (charge from grid, discharge to data center, or sell back to grid)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Frequency of frontier-model retraining (cadence in days). Higher cadence keeps the deployed model closer to peak revenue but takes compute away from inference; lower cadence preserves inference capacity but lets revenue decay</w:t>
      </w:r>
    </w:p>
    <w:p>
      <w:pPr>
        <w:pStyle w:val="Heading1"/>
      </w:pPr>
      <w:r>
        <w:rPr>
          <w:b/>
          <w:bCs/>
        </w:rPr>
        <w:t xml:space="preserve">Assigned Tasks and Deliverables</w:t>
      </w:r>
    </w:p>
    <w:p>
      <w:pPr>
        <w:spacing w:after="120"/>
      </w:pPr>
      <w:r>
        <w:t xml:space="preserve">The prescribed task entails employing real-options analysis to design an economically viable operating policy for allocation and timing for incurring training cost as well as power procurement during the next 6 months (starting 1 June 2026 to 1 December 2026) with corresponding profitability (i.e., volatility-dependent conditional payoff) estimates during this period.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Detailed description of the process of analysis, motivation/rationale justifying the methodology, and all assumptions.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Value and estimate breakeven as well as marginal profitability increases for tolling fixed-lease-rate battery storage (BESS) at each location with recommendations as to under what market conditions either or both of these tolling arrangements would be economically viable.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Substantive description of wind-solar intermittency in the context of MIHR citing the ERCOT data portal, and the contingency of the prescribed unscheduled outage scenarios.</w:t>
      </w:r>
    </w:p>
    <w:p>
      <w:pPr>
        <w:pStyle w:val="Heading1"/>
      </w:pPr>
      <w:r>
        <w:rPr>
          <w:b/>
          <w:bCs/>
        </w:rPr>
        <w:t xml:space="preserve">Training + Inference</w:t>
      </w:r>
    </w:p>
    <w:p>
      <w:pPr>
        <w:pStyle w:val="Heading2"/>
      </w:pPr>
      <w:r>
        <w:rPr>
          <w:b/>
          <w:bCs/>
        </w:rPr>
        <w:t xml:space="preserve">Training</w:t>
      </w:r>
    </w:p>
    <w:p>
      <w:pPr>
        <w:pStyle w:val="Heading3"/>
      </w:pPr>
      <w:r>
        <w:rPr>
          <w:b/>
          <w:bCs/>
        </w:rPr>
        <w:t xml:space="preserve">Power and computational requirements</w:t>
      </w:r>
    </w:p>
    <w:p>
      <w:pPr>
        <w:spacing w:after="120"/>
      </w:pPr>
      <w:r>
        <w:t xml:space="preserve">Each model release k has a compute requirement that we project from its training-start date in three steps: training_start_date → projected parameter count → projected training FLOPS → required compute-MWh.</w:t>
      </w:r>
    </w:p>
    <w:p>
      <w:pPr>
        <w:pStyle w:val="Heading3"/>
      </w:pPr>
      <w:r>
        <w:rPr>
          <w:b/>
          <w:bCs/>
        </w:rPr>
        <w:t xml:space="preserve">Parameter projection</w:t>
      </w:r>
    </w:p>
    <w:p>
      <w:pPr>
        <w:spacing w:after="120"/>
      </w:pPr>
      <w:r>
        <w:t xml:space="preserve">Parameter counts in notable AI systems have grown exponentially. We fit a log-linear regression of log10(params) on Excel-serial date using the Epoch AI "Parameters in notable artificial intelligence systems" dataset with a post-2020 filter. The post-2020 cut produces a steeper, more recent trend that better matches frontier model sizes; the post-2010 alternative is documented in the code (`fit_growth_curves.py`) for comparison.</w:t>
      </w:r>
    </w:p>
    <w:p>
      <w:pPr>
        <w:spacing w:after="120"/>
      </w:pPr>
      <w:r>
        <w:t xml:space="preserve">Post-2020 fit (n = 395 observations, R² ≈ 0.30):</w:t>
      </w:r>
    </w:p>
    <w:p>
      <w:pPr>
        <w:spacing w:after="120"/>
      </w:pPr>
      <w:r>
        <w:rPr>
          <w:i/>
          <w:iCs/>
        </w:rPr>
        <w:t xml:space="preserve">log10(params) = −49.6585 + 1.32043 × 10⁻³ · day_serial</w:t>
      </w:r>
    </w:p>
    <w:p>
      <w:pPr>
        <w:spacing w:after="120"/>
      </w:pPr>
      <w:r>
        <w:t xml:space="preserve">That gives a parameter-count doubling time of ~228 days. We then apply a 5× competitiveness multiplier (planning-doc convention) so projections track 2026 frontier-class models (DeepSeek 1.6T, GPT-class 1.7T, etc.) rather than the dataset-wide average. The CSV is dated 2023, so the 5× bridges 2023 → 2026 frontier.</w:t>
      </w:r>
    </w:p>
    <w:p>
      <w:pPr>
        <w:spacing w:after="120"/>
      </w:pPr>
      <w:r>
        <w:t xml:space="preserve">Projected post-multiplier parameter counts at planning-doc reference dates: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200"/>
        <w:gridCol w:w="29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Release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 start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Params (post-5×)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Pre-multiplier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 (initial)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2026-06-01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1.02 × 10¹²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2.04 × 10¹¹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2026-06-22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1.09 × 10¹²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2.18 × 10¹¹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2026-08-22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1.31 × 10¹²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2.62 × 10¹¹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2026-10-22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1.58 × 10¹²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3.16 × 10¹¹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2026-12-22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1.90 × 10¹²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3.80 × 10¹¹</w:t>
            </w:r>
          </w:p>
        </w:tc>
      </w:tr>
    </w:tbl>
    <w:p>
      <w:pPr>
        <w:spacing w:after="120"/>
      </w:pPr>
      <w:r>
        <w:t xml:space="preserve">These figures are derived in `assumptions.project_params(training_start_date)`.</w:t>
      </w:r>
    </w:p>
    <w:p>
      <w:pPr>
        <w:pStyle w:val="Heading3"/>
      </w:pPr>
      <w:r>
        <w:rPr>
          <w:b/>
          <w:bCs/>
        </w:rPr>
        <w:t xml:space="preserve">FLOPS projection</w:t>
      </w:r>
    </w:p>
    <w:p>
      <w:pPr>
        <w:spacing w:after="120"/>
      </w:pPr>
      <w:r>
        <w:t xml:space="preserve">Training compute follows a power law in parameter count. We fit log10(petaFLOPS) vs. log10(params) on the Epoch AI "Training computation vs. parameters" dataset (n = 457, R² ≈ 0.84):</w:t>
      </w:r>
    </w:p>
    <w:p>
      <w:pPr>
        <w:spacing w:after="120"/>
      </w:pPr>
      <w:r>
        <w:rPr>
          <w:i/>
          <w:iCs/>
        </w:rPr>
        <w:t xml:space="preserve">log10(petaFLOPS) = −9.8192 + 1.7187 · log10(params)</w:t>
      </w:r>
    </w:p>
    <w:p>
      <w:pPr>
        <w:spacing w:after="120"/>
      </w:pPr>
      <w:r>
        <w:t xml:space="preserve">A 1.72 exponent matches Chinchilla-style scaling (FLOPS ∝ params × tokens, with tokens ∝ params). With the post-2020 parameter projection and the 5× multiplier, the projected training-FLOPS per release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000"/>
        <w:gridCol w:w="31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Release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 start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 petaFLOPS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FLOPS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2026-06-01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6.64 × 10¹⁰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6.64 × 10²⁵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2026-06-22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7.41 × 10¹⁰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7.41 × 10²⁵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2026-08-22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1.02 × 10¹¹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1.02 × 10²⁶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2026-10-22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1.40 × 10¹¹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1.40 × 10²⁶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2026-12-22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1.93 × 10¹¹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1.93 × 10²⁶</w:t>
            </w:r>
          </w:p>
        </w:tc>
      </w:tr>
    </w:tbl>
    <w:p>
      <w:pPr>
        <w:spacing w:after="120"/>
      </w:pPr>
      <w:r>
        <w:t xml:space="preserve">Derived in `assumptions.project_petaflops(training_start_date)`.</w:t>
      </w:r>
    </w:p>
    <w:p>
      <w:pPr>
        <w:pStyle w:val="Heading3"/>
      </w:pPr>
      <w:r>
        <w:rPr>
          <w:b/>
          <w:bCs/>
        </w:rPr>
        <w:t xml:space="preserve">Hardware and FLOPS → MWh conversion</w:t>
      </w:r>
    </w:p>
    <w:p>
      <w:pPr>
        <w:spacing w:after="120"/>
      </w:pPr>
      <w:r>
        <w:t xml:space="preserve">Each data center holds 90,000 H-100-class GPUs at 80 MW of compute capacity (180,000 GPUs and 160 MW compute across both sites). H-100 SXM5 and H-100 PCIe have different sustained throughputs; SXM is generally better for training. We model an aggregate effective rate built from a configurable SXM/PCIe split: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5260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 value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H100_SXM_SUSTAINED_TFLOPS_PER_SEC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TF/s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50 % of FP8-dense theoretical 989 TF/s. ⚠ TBD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H100_PCIE_SUSTAINED_TFLOPS_PER_SEC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380 TF/s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50 % of FP8-dense theoretical 756 TF/s. ⚠ TBD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SXM_FRACTION_DEFAULT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0.60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60 % SXM / 40 % PCIe. ⚠ TBD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FLOPS_PER_COMPUTE_MWH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1.83 × 10²¹</w:t>
            </w:r>
          </w:p>
        </w:tc>
        <w:tc>
          <w:tcPr>
            <w:tcW w:type="dxa" w:w="5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Derived: GPUs × (split · TF/s) × 3600 / 80 MW</w:t>
            </w:r>
          </w:p>
        </w:tc>
      </w:tr>
    </w:tbl>
    <w:p>
      <w:pPr>
        <w:spacing w:after="120"/>
      </w:pPr>
      <w:r>
        <w:t xml:space="preserve">Aggregate sustained throughput at 100 % compute utilization across both sites = 81.4 PFLOP/s = 2.93 × 10²³ FLOPS/hour. Dividing the per-release FLOPS by FLOPS_PER_COMPUTE_MWH gives the compute-MWh needed for that release. Multiplying by PUE = 1.25 converts to grid-MWh, which is what the LP's `train` and `inf` variables track.</w:t>
      </w:r>
    </w:p>
    <w:p>
      <w:pPr>
        <w:pStyle w:val="Heading3"/>
      </w:pPr>
      <w:r>
        <w:rPr>
          <w:b/>
          <w:bCs/>
        </w:rPr>
        <w:t xml:space="preserve">Three core decisions, recap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 cadence (days between releases). Treated as a discrete sweep over candidate values, evaluated in expectation over MC price paths.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SXM vs PCIe split. Currently collapsed into a single aggregate FLOPS_PER_COMPUTE_MWH because the underlying per-workload sustained rates are flagged TBD in the planning doc. Easy to split when finalized.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Hourly training/inference split per site. The LP picks these endogenously given the cadence and price paths.</w:t>
      </w:r>
    </w:p>
    <w:p>
      <w:pPr>
        <w:pStyle w:val="Heading3"/>
      </w:pPr>
      <w:r>
        <w:rPr>
          <w:b/>
          <w:bCs/>
        </w:rPr>
        <w:t xml:space="preserve">First release: 100 % compute</w:t>
      </w:r>
    </w:p>
    <w:p>
      <w:pPr>
        <w:spacing w:after="120"/>
      </w:pPr>
      <w:r>
        <w:t xml:space="preserve">The initial release R1 begins 1 June 2026 and runs at 100 % compute utilization on both sites — no inference revenue accrues during R1's window. R1's window length is therefore set by compute-need / max-compute-rate:</w:t>
      </w:r>
    </w:p>
    <w:p>
      <w:pPr>
        <w:spacing w:after="120"/>
      </w:pPr>
      <w:r>
        <w:rPr>
          <w:i/>
          <w:iCs/>
        </w:rPr>
        <w:t xml:space="preserve">R1_duration = project_compute_mwh(2026-06-01) / (2 × 80 MW · 24 h) ≈ 36,289 / 3,840 ≈ 9.5 → 10 days</w:t>
      </w:r>
    </w:p>
    <w:p>
      <w:pPr>
        <w:spacing w:after="120"/>
      </w:pPr>
      <w:r>
        <w:t xml:space="preserve">All subsequent releases R(k+1) start at R(k)'s release date and run for the chosen cadence_days, with both training and inference allowed in those windows.</w:t>
      </w:r>
    </w:p>
    <w:p>
      <w:pPr>
        <w:pStyle w:val="Heading2"/>
      </w:pPr>
      <w:r>
        <w:rPr>
          <w:b/>
          <w:bCs/>
        </w:rPr>
        <w:t xml:space="preserve">Inference</w:t>
      </w:r>
    </w:p>
    <w:p>
      <w:pPr>
        <w:pStyle w:val="Heading3"/>
      </w:pPr>
      <w:r>
        <w:rPr>
          <w:b/>
          <w:bCs/>
        </w:rPr>
        <w:t xml:space="preserve">Basic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Inference can only use compute capacity not currently being used for training. Implemented as the LP's per-site compute cap: train + inf ≤ 100 grid-MWh/hr (= 80 compute-MWh/hr).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revenue at any hour must cover marginal power cost. The LP enforces this implicitly via its profit objective: an additional MWh of inference is only taken if its revenue exceeds its grid cost.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Maximum request rate is such that power/computational cost does not exceed that unused by training, in any hour.</w:t>
      </w:r>
    </w:p>
    <w:p>
      <w:pPr>
        <w:pStyle w:val="Heading3"/>
      </w:pPr>
      <w:r>
        <w:rPr>
          <w:b/>
          <w:bCs/>
        </w:rPr>
        <w:t xml:space="preserve">Revenue per MWh</w:t>
      </w:r>
    </w:p>
    <w:p>
      <w:pPr>
        <w:spacing w:after="120"/>
      </w:pPr>
      <w:r>
        <w:t xml:space="preserve">Per the RFP, a 100 % allocation of 80 MW compute to inference produces 5 trillion tokens/day per site. This pins our conversion factor:</w:t>
      </w:r>
    </w:p>
    <w:p>
      <w:pPr>
        <w:spacing w:after="120"/>
      </w:pPr>
      <w:r>
        <w:rPr>
          <w:i/>
          <w:iCs/>
        </w:rPr>
        <w:t xml:space="preserve">TOKENS_PER_COMPUTE_MWH = 5 × 10¹² / (80 × 24) ≈ 2.604 × 10⁹ tokens/cMWh</w:t>
      </w:r>
    </w:p>
    <w:p>
      <w:pPr>
        <w:spacing w:after="120"/>
      </w:pPr>
      <w:r>
        <w:t xml:space="preserve">Token pricing follows GPT-5.4Pro on benchlm.ai with the RFP-specified 2/3 input + 1/3 output revenue mix:</w:t>
      </w:r>
    </w:p>
    <w:p>
      <w:pPr>
        <w:spacing w:after="120"/>
      </w:pPr>
      <w:r>
        <w:rPr>
          <w:i/>
          <w:iCs/>
        </w:rPr>
        <w:t xml:space="preserve">blended rate = (2/3) × $30 + (1/3) × $180 = $80 per million tokens</w:t>
      </w:r>
    </w:p>
    <w:p>
      <w:pPr>
        <w:spacing w:after="120"/>
      </w:pPr>
      <w:r>
        <w:t xml:space="preserve">That implies an inference revenue per compute-MWh of $208,333 (at peak, no decay); after PUE conversion, $166,667 per grid-MWh. This is the peak revenue an hour earns when the deployed model is at its newest. Per-hour revenue then declines via the token-decay path described below.</w:t>
      </w:r>
    </w:p>
    <w:p>
      <w:pPr>
        <w:pStyle w:val="Heading3"/>
      </w:pPr>
      <w:r>
        <w:rPr>
          <w:b/>
          <w:bCs/>
        </w:rPr>
        <w:t xml:space="preserve">Token-price decay between releases</w:t>
      </w:r>
    </w:p>
    <w:p>
      <w:pPr>
        <w:spacing w:after="120"/>
      </w:pPr>
      <w:r>
        <w:t xml:space="preserve">From the planning-doc observation that frontier token prices halve every couple of months, we model the per-hour inference revenue rate as:</w:t>
      </w:r>
    </w:p>
    <w:p>
      <w:pPr>
        <w:spacing w:after="120"/>
      </w:pPr>
      <w:r>
        <w:rPr>
          <w:i/>
          <w:iCs/>
        </w:rPr>
        <w:t xml:space="preserve">rev_inf[h] = base_rev × multiplier_of_current_release × 0.5 ^ (days_since_release / 60)</w:t>
      </w:r>
    </w:p>
    <w:p>
      <w:pPr>
        <w:spacing w:after="120"/>
      </w:pPr>
      <w:r>
        <w:t xml:space="preserve">Where `current_release` is the most-recent release as of hour h. Halflife defaults to 60 days; sensitivity to 30/45/60/90/120 days is provided in `halflife_sensitivity.py`.</w:t>
      </w:r>
    </w:p>
    <w:p>
      <w:pPr>
        <w:pStyle w:val="Heading3"/>
      </w:pPr>
      <w:r>
        <w:rPr>
          <w:b/>
          <w:bCs/>
        </w:rPr>
        <w:t xml:space="preserve">Per-release multipliers (token cost / quality)</w:t>
      </w:r>
    </w:p>
    <w:p>
      <w:pPr>
        <w:spacing w:after="120"/>
      </w:pPr>
      <w:r>
        <w:t xml:space="preserve">Each release carries a `token_revenue_multiplier`. Four schemes are available, configurable per-run: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Scheme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Multiplier rule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Captures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 for every release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generation-over-generation differentiation; only the decay sawtooth matters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quality_uplift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uplift_factor^k for release k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new release captures more value because it's a better model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market_decay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0.5^(release_t_days/60)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new release earns less because the consumer market price has fallen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doc_blended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quality_uplift × market_decay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Planning-doc story: quality rises but market deflates simultaneously</w:t>
            </w:r>
          </w:p>
        </w:tc>
      </w:tr>
    </w:tbl>
    <w:p>
      <w:pPr>
        <w:spacing w:after="120"/>
      </w:pPr>
      <w:r>
        <w:t xml:space="preserve">Default for the headline run is `doc_blended` with `uplift_factor = 1.5`.</w:t>
      </w:r>
    </w:p>
    <w:p>
      <w:pPr>
        <w:pStyle w:val="Heading3"/>
      </w:pPr>
      <w:r>
        <w:rPr>
          <w:b/>
          <w:bCs/>
        </w:rPr>
        <w:t xml:space="preserve">Revenue at the hour level</w:t>
      </w:r>
    </w:p>
    <w:p>
      <w:pPr>
        <w:spacing w:after="120"/>
      </w:pPr>
      <w:r>
        <w:t xml:space="preserve">Total inference revenue per hour at a site, given the LP picked inf grid-MWh of inference:</w:t>
      </w:r>
    </w:p>
    <w:p>
      <w:pPr>
        <w:spacing w:after="120"/>
      </w:pPr>
      <w:r>
        <w:rPr>
          <w:i/>
          <w:iCs/>
        </w:rPr>
        <w:t xml:space="preserve">revenue[h, s] = inf[h, s] × rev_inf[h]</w:t>
      </w:r>
    </w:p>
    <w:p>
      <w:pPr>
        <w:spacing w:after="120"/>
      </w:pPr>
      <w:r>
        <w:t xml:space="preserve">Aggregated across hours and sites and netted against power costs (LMP/toll/BESS-charge) and BESS lease (if applicable), this is the LP's objective.</w:t>
      </w:r>
    </w:p>
    <w:p>
      <w:pPr>
        <w:pStyle w:val="Heading1"/>
      </w:pPr>
      <w:r>
        <w:rPr>
          <w:b/>
          <w:bCs/>
        </w:rPr>
        <w:t xml:space="preserve">Conversion (compute → grid-MWh)</w:t>
      </w:r>
    </w:p>
    <w:p>
      <w:pPr>
        <w:spacing w:after="120"/>
      </w:pPr>
      <w:r>
        <w:t xml:space="preserve">The LP's training and inference decision variables are in grid-MWh — the same units as the power-procurement variables — because compute capacity converts to grid power at PUE = 1.25. Key relationships: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Quantity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Formula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 (default)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Use Effectiveness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 MWh / Compute MWh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1.25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Per-site grid power cap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RFP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MWh/hr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Per-site compute capacity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 cap ÷ PUE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 compute-MWh/hr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Both-site grid cap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MWh/hr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= 4,800 MWh/day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Both-site compute cap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 compute-MWh/hr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= 3,840 cMWh/day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FLOPS per compute-MWh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Σ_GPU type frac · TF/s · 3600 / 80 MW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1.83 × 10²¹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Tokens per compute-MWh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5T tokens/day ÷ (80 MW · 24 h)</w:t>
            </w:r>
          </w:p>
        </w:tc>
        <w:tc>
          <w:tcPr>
            <w:tcW w:type="dxa" w:w="3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2.60 × 10⁹</w:t>
            </w:r>
          </w:p>
        </w:tc>
      </w:tr>
    </w:tbl>
    <w:p>
      <w:pPr>
        <w:spacing w:after="120"/>
      </w:pPr>
      <w:r>
        <w:t xml:space="preserve">Constraints (planning doc):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Per-site grid draw g_lmp + g_toll ≤ 100 MWh/hr × capacity_factor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Aggregate grid draw across both sites ≤ 200 MWh/hr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Per-site train + inf ≤ 100 grid-MWh/hr (≡ 80 compute-MWh/hr after PUE)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Aggregate train + inf ≤ 200 grid-MWh/hr (≡ 160 compute-MWh)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Compute-clearing: g_lmp + g_toll + dis_dc = train + inf (LP balance equation)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RFP daily training floor: Σ train per day, summed across both sites, ≥ 500 MWh-grid</w:t>
      </w:r>
    </w:p>
    <w:p>
      <w:pPr>
        <w:pStyle w:val="Heading1"/>
      </w:pPr>
      <w:r>
        <w:rPr>
          <w:b/>
          <w:bCs/>
        </w:rPr>
        <w:t xml:space="preserve">Power</w:t>
      </w:r>
    </w:p>
    <w:p>
      <w:pPr>
        <w:pStyle w:val="Heading2"/>
      </w:pPr>
      <w:r>
        <w:rPr>
          <w:b/>
          <w:bCs/>
        </w:rPr>
        <w:t xml:space="preserve">Grid LMP (HB_HOUSTON, HB_WEST)</w:t>
      </w:r>
    </w:p>
    <w:p>
      <w:pPr>
        <w:spacing w:after="120"/>
      </w:pPr>
      <w:r>
        <w:t xml:space="preserve">Hourly Day-Ahead Market settlement-point prices for the two ERCOT hubs are sourced from the ERCOT ISO publishing site (xlsx in `data/`). For the 6-month horizon, we use the actual 2025 June-November DAM hourly prices, shifted forward one calendar year, as a deterministic proxy. For the headline real-options analysis these prices are replaced by N Monte-Carlo paths simulated from a seasonal Ornstein-Uhlenbeck model calibrated on the full 2025 actuals.</w:t>
      </w:r>
    </w:p>
    <w:p>
      <w:pPr>
        <w:spacing w:after="120"/>
      </w:pPr>
      <w:r>
        <w:t xml:space="preserve">Note: the RFP requests RT-LMP. DAM is the closest available proxy in the repo; RT is typically more volatile and would slightly increase the value of tolling and BESS arbitrage.</w:t>
      </w:r>
    </w:p>
    <w:p>
      <w:pPr>
        <w:pStyle w:val="Heading2"/>
      </w:pPr>
      <w:r>
        <w:rPr>
          <w:b/>
          <w:bCs/>
        </w:rPr>
        <w:t xml:space="preserve">Henry Hub gas (for tolling)</w:t>
      </w:r>
    </w:p>
    <w:p>
      <w:pPr>
        <w:spacing w:after="120"/>
      </w:pPr>
      <w:r>
        <w:t xml:space="preserve">Daily Henry Hub spot prices from the EIA are used in the Houston tolling cost formula. Loaded from `HH_full.csv`.</w:t>
      </w:r>
    </w:p>
    <w:p>
      <w:pPr>
        <w:pStyle w:val="Heading2"/>
      </w:pPr>
      <w:r>
        <w:rPr>
          <w:b/>
          <w:bCs/>
        </w:rPr>
        <w:t xml:space="preserve">Tolling at Houston (period-long option, hourly exercise)</w:t>
      </w:r>
    </w:p>
    <w:p>
      <w:pPr>
        <w:spacing w:after="120"/>
      </w:pPr>
      <w:r>
        <w:t xml:space="preserve">Tolling is structured as a binary period-long contract decision (`Scenario.use_houston_tolling`). When the contract is signed, the LP gets an hourly option to draw up to TOLL_MAX_MW of power at the tolling cost — exercised only when LMP &gt; toll cost. Toll variable cost per MWh:</w:t>
      </w:r>
    </w:p>
    <w:p>
      <w:pPr>
        <w:spacing w:after="120"/>
      </w:pPr>
      <w:r>
        <w:rPr>
          <w:i/>
          <w:iCs/>
        </w:rPr>
        <w:t xml:space="preserve">toll_cost[$/MWh] = (HH_gas[$/MMBtu] + $3/MMBtu O&amp;M) × 9.5 MMBtu/MWh ≈ $57/MWh at $3 gas</w:t>
      </w:r>
    </w:p>
    <w:p>
      <w:pPr>
        <w:spacing w:after="120"/>
      </w:pPr>
      <w:r>
        <w:t xml:space="preserve">Heat rate is 9,500 BTU/kWh per the RFP — typical of an efficient simple-cycle peaker. West Texas has no tolling option (no gas plant available).</w:t>
      </w:r>
    </w:p>
    <w:p>
      <w:pPr>
        <w:spacing w:after="120"/>
      </w:pPr>
      <w:r>
        <w:t xml:space="preserve">Tolling parameters (currently default-modelled with no fixed surcharge):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TOLL_HEAT_RATE_BTU_PER_KWH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9,500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RFP — simple-cycle peaker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TOLL_VOM_PER_MMBTU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$3/MMBtu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RFP — variable O&amp;M premium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TOLL_MAX_MW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MWh/hr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Hourly cap = site grid cap (assumption)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TOLL_MAX_MWH_PER_DAY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 TBD daily cap (RFP refers to one; value not specified)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TOLL_FIXED_SURCHARGE_PER_MWH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⚠ TBD capacity payment (RFP didn't specify)</w:t>
            </w:r>
          </w:p>
        </w:tc>
      </w:tr>
    </w:tbl>
    <w:p>
      <w:pPr>
        <w:pStyle w:val="Heading2"/>
      </w:pPr>
      <w:r>
        <w:rPr>
          <w:b/>
          <w:bCs/>
        </w:rPr>
        <w:t xml:space="preserve">BESS (40 MW / 160 MWh / 92 % RTE at each site)</w:t>
      </w:r>
    </w:p>
    <w:p>
      <w:pPr>
        <w:spacing w:after="120"/>
      </w:pPr>
      <w:r>
        <w:t xml:space="preserve">Battery storage is modeled as a tolling agreement (physical or virtual) for 6 months. The contract is binary per site (`Scenario.bess_sites` can be any subset of {HOUSTON, WEST}). When active at a site, the LP gets four hourly decisions: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ch[h, s]: MWh charged from the grid (drawn at LMP)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dis_dc[h, s]: MWh discharged to the data center (substitutes for grid draw at LMP)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dis_grid[h, s]: MWh discharged and sold back to the grid at LMP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soc[h, s]: state of charge at hour h, bounded 0 ≤ soc ≤ 160 MWh</w:t>
      </w:r>
    </w:p>
    <w:p>
      <w:pPr>
        <w:spacing w:after="120"/>
      </w:pPr>
      <w:r>
        <w:t xml:space="preserve">BESS dynamics:</w:t>
      </w:r>
    </w:p>
    <w:p>
      <w:pPr>
        <w:spacing w:after="120"/>
      </w:pPr>
      <w:r>
        <w:rPr>
          <w:i/>
          <w:iCs/>
        </w:rPr>
        <w:t xml:space="preserve">soc[h+1] = soc[h] + √0.92 × ch[h] − (dis_dc[h] + dis_grid[h]) / √0.92</w:t>
      </w:r>
    </w:p>
    <w:p>
      <w:pPr>
        <w:spacing w:after="120"/>
      </w:pPr>
      <w:r>
        <w:t xml:space="preserve">Charge and combined discharge each capped at 40 MWh/hr; round-trip efficiency 92 % (= per-direction √0.92 ≈ 0.959). The 6-month lease per site is amortized from the RFP-stated cost structure:</w:t>
      </w:r>
    </w:p>
    <w:p>
      <w:pPr>
        <w:spacing w:after="120"/>
      </w:pPr>
      <w:r>
        <w:rPr>
          <w:i/>
          <w:iCs/>
        </w:rPr>
        <w:t xml:space="preserve">lease/site = $60M capex / 15 yr / 2 + $2M opex/yr / 2 = $3M for 6 months</w:t>
      </w:r>
    </w:p>
    <w:p>
      <w:pPr>
        <w:spacing w:after="120"/>
      </w:pPr>
      <w:r>
        <w:t xml:space="preserve">Or $6M total if BESS is active at both sites. This fixed cost is excluded from the LP objective directly (it's a constant) but subtracted in `cost_breakdown` so the per-scenario profit numbers reflect it.</w:t>
      </w:r>
    </w:p>
    <w:p>
      <w:pPr>
        <w:pStyle w:val="Heading1"/>
      </w:pPr>
      <w:r>
        <w:rPr>
          <w:b/>
          <w:bCs/>
        </w:rPr>
        <w:t xml:space="preserve">Model Dynamic</w:t>
      </w:r>
    </w:p>
    <w:p>
      <w:pPr>
        <w:pStyle w:val="Heading2"/>
      </w:pPr>
      <w:r>
        <w:rPr>
          <w:b/>
          <w:bCs/>
        </w:rPr>
        <w:t xml:space="preserve">Decision variables</w:t>
      </w:r>
    </w:p>
    <w:p>
      <w:pPr>
        <w:spacing w:after="120"/>
      </w:pPr>
      <w:r>
        <w:t xml:space="preserve">Per hour h ∈ {0..4391} and per site s ∈ {HOUSTON, WEST}: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900"/>
        <w:gridCol w:w="4060"/>
      </w:tblGrid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Units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Bounds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g_lmp[h, s]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grid-MWh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0 .. 100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drawn at RT LMP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g_toll[h, s]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grid-MWh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.. 100, 0 at WEST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drawn under Houston tolling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train[h, s]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grid-MWh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0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 allocated to training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inf[h, s]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grid-MWh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0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 allocated to inference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ch[h, s]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MWh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.. 40 (BESS sites)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BESS charge from grid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dis_dc[h, s]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MWh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0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BESS discharge to data center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dis_grid[h, s]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MWh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 0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BESS discharge sold at LMP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soc[h, s]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MWh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0 .. 160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BESS state of charge</w:t>
            </w:r>
          </w:p>
        </w:tc>
      </w:tr>
    </w:tbl>
    <w:p>
      <w:pPr>
        <w:pStyle w:val="Heading2"/>
      </w:pPr>
      <w:r>
        <w:rPr>
          <w:b/>
          <w:bCs/>
        </w:rPr>
        <w:t xml:space="preserve">Model-variable parameters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 cadence (days between releases). Default candidate set: [10, 15, 20, 25, 30, 45, 60, 75, 90, 120, 150, 180]. Filter retains those whose smallest non-initial release's natural training rate is ≥ 500 MWh-grid/day AND whose largest release's required rate is ≤ 4,800 MWh-grid/day. Typical filtered set: [25, 30, 45, 60, 75, 90].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Token-multiplier scheme (per-release revenue scaling). Default `doc_blended`.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Procurement scenario (use_houston_tolling, bess_sites). Default everything-on; Phase C optimizes.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Number of Monte-Carlo paths. Default 50 for production runs.</w:t>
      </w:r>
    </w:p>
    <w:p>
      <w:pPr>
        <w:pStyle w:val="Heading2"/>
      </w:pPr>
      <w:r>
        <w:rPr>
          <w:b/>
          <w:bCs/>
        </w:rPr>
        <w:t xml:space="preserve">Objective</w:t>
      </w:r>
    </w:p>
    <w:p>
      <w:pPr>
        <w:spacing w:after="120"/>
      </w:pPr>
      <w:r>
        <w:t xml:space="preserve">Maximize expected profit across MC price paths:</w:t>
      </w:r>
    </w:p>
    <w:p>
      <w:pPr>
        <w:spacing w:after="120"/>
      </w:pPr>
      <w:r>
        <w:rPr>
          <w:i/>
          <w:iCs/>
        </w:rPr>
        <w:t xml:space="preserve">max  Σ_h Σ_s ( rev_inf[h] · inf[h, s]  +  LMP[h, s] · dis_grid[h, s] )</w:t>
      </w:r>
    </w:p>
    <w:p>
      <w:pPr>
        <w:spacing w:after="120"/>
      </w:pPr>
      <w:r>
        <w:rPr>
          <w:i/>
          <w:iCs/>
        </w:rPr>
        <w:t xml:space="preserve">    − Σ_h Σ_s ( LMP[h, s] · g_lmp[h, s]  +  toll_cost[h] · g_toll[h, s]  +  LMP[h, s] · ch[h, s] )</w:t>
      </w:r>
    </w:p>
    <w:p>
      <w:pPr>
        <w:spacing w:after="120"/>
      </w:pPr>
      <w:r>
        <w:rPr>
          <w:i/>
          <w:iCs/>
        </w:rPr>
        <w:t xml:space="preserve">    − BESS_6mo_lease × |bess_sites|</w:t>
      </w:r>
    </w:p>
    <w:p>
      <w:pPr>
        <w:pStyle w:val="Heading2"/>
      </w:pPr>
      <w:r>
        <w:rPr>
          <w:b/>
          <w:bCs/>
        </w:rPr>
        <w:t xml:space="preserve">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Per-site grid draw cap: g_lmp + g_toll ≤ 100 MWh/hr × capacity_factor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Per-site compute cap: train + inf ≤ 100 MWh-grid/hr (= 80 compute-MWh/hr)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 balance: g_lmp + g_toll + dis_dc = train + inf (LP balance; ensures power into the DC matches compute load)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Tolling at Houston only: g_toll[h, WEST] = 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Houston toll capacity: g_toll[h, HOUSTON] ≤ TOLL_MAX_MW (× capacity_factor)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daily toll MWh cap: Σ_h g_toll[h, HOUSTON] per day ≤ TOLL_MAX_MWH_PER_DAY (TBD)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BESS power: ch ≤ 40 MWh/hr, dis_dc + dis_grid ≤ 40 MWh/hr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BESS SOC: 0 ≤ soc ≤ 160 MWh, soc[h+1] = soc[h] + √0.92 × ch − (dis_dc + dis_grid) / √0.92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BESS starts and ends at SOC = 0 (no inventory at horizon endpoints)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Per-release training: Σ_h Σ_s train[h, s] over R_k's window ≥ project_compute_mwh(R_k.start) × PUE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R1 initial: inf[h, s] = 0 for all h in R1's window (100 % compute → training)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Outside any release window: train[h, s] = 0 (unless schedule is empty, in which case the daily floor governs)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RFP daily training floor (mandatory): Σ_s,h-in-day train[h, s] ≥ 500 MWh-grid/day</w:t>
      </w:r>
    </w:p>
    <w:p>
      <w:pPr>
        <w:pStyle w:val="Heading2"/>
      </w:pPr>
      <w:r>
        <w:rPr>
          <w:b/>
          <w:bCs/>
        </w:rPr>
        <w:t xml:space="preserve">Optimization workflow (run_planning_doc.py)</w:t>
      </w:r>
    </w:p>
    <w:p>
      <w:pPr>
        <w:spacing w:after="120"/>
      </w:pPr>
      <w:r>
        <w:t xml:space="preserve">Profit is maximized in four sequential phases:</w:t>
      </w:r>
    </w:p>
    <w:p>
      <w:pPr>
        <w:pStyle w:val="Heading3"/>
      </w:pPr>
      <w:r>
        <w:rPr>
          <w:b/>
          <w:bCs/>
        </w:rPr>
        <w:t xml:space="preserve">Phase A — Cadence selection (procurement = all on)</w:t>
      </w:r>
    </w:p>
    <w:p>
      <w:pPr>
        <w:spacing w:after="120"/>
      </w:pPr>
      <w:r>
        <w:t xml:space="preserve">For each candidate cadence c (after filter), solve the LP across N MC price paths in parallel via a ProcessPool. Mean per-path profit is the score for c. Stage 1 sweeps the filtered broad set; Stage 2 refines six cadences ±30 % around the Stage-1 winner. Winner is the cadence with highest mean profit.</w:t>
      </w:r>
    </w:p>
    <w:p>
      <w:pPr>
        <w:pStyle w:val="Heading3"/>
      </w:pPr>
      <w:r>
        <w:rPr>
          <w:b/>
          <w:bCs/>
        </w:rPr>
        <w:t xml:space="preserve">Phase B — Locked-cadence diagnostic (procurement = all on)</w:t>
      </w:r>
    </w:p>
    <w:p>
      <w:pPr>
        <w:spacing w:after="120"/>
      </w:pPr>
      <w:r>
        <w:t xml:space="preserve">At the Phase-A winning cadence, re-solve the LP on every path and report averaged-across-paths metrics: cost breakdown, profit distribution, procurement mix. This is a marginal-cost view — the LP "uses" BESS even when the lease is net-negative because the lease is a sunk constant from the LP's perspective.</w:t>
      </w:r>
    </w:p>
    <w:p>
      <w:pPr>
        <w:pStyle w:val="Heading3"/>
      </w:pPr>
      <w:r>
        <w:rPr>
          <w:b/>
          <w:bCs/>
        </w:rPr>
        <w:t xml:space="preserve">Phase C — Procurement optimization (full-cost view, lease included)</w:t>
      </w:r>
    </w:p>
    <w:p>
      <w:pPr>
        <w:spacing w:after="120"/>
      </w:pPr>
      <w:r>
        <w:t xml:space="preserve">At the locked cadence, sweep eight procurement combinations: toll ∈ {off, on} × BESS-sites ∈ {none, Houston, West, both}. For each combo, solve N paths and average profit including the BESS lease as a fixed-cost subtraction. Pick the combo with highest mean profit; this is the optimal procurement under full-cost accounting.</w:t>
      </w:r>
    </w:p>
    <w:p>
      <w:pPr>
        <w:pStyle w:val="Heading3"/>
      </w:pPr>
      <w:r>
        <w:rPr>
          <w:b/>
          <w:bCs/>
        </w:rPr>
        <w:t xml:space="preserve">Verification — Cadence under optimal procurement</w:t>
      </w:r>
    </w:p>
    <w:p>
      <w:pPr>
        <w:spacing w:after="120"/>
      </w:pPr>
      <w:r>
        <w:t xml:space="preserve">Re-solve a tight ±30 % cadence neighborhood under Phase C's optimal procurement. Confirms the cadence winner doesn't shift when negative-NPV options are stripped out (in practice never does, because cadence-vs-cadence profit gaps are ~$3 B while procurement-vs-procurement gaps are ~$5 M).</w:t>
      </w:r>
    </w:p>
    <w:p>
      <w:pPr>
        <w:pStyle w:val="Heading3"/>
      </w:pPr>
      <w:r>
        <w:rPr>
          <w:b/>
          <w:bCs/>
        </w:rPr>
        <w:t xml:space="preserve">Final output</w:t>
      </w:r>
    </w:p>
    <w:p>
      <w:pPr>
        <w:spacing w:after="120"/>
      </w:pPr>
      <w:r>
        <w:t xml:space="preserve">Re-solve the LP on every MC path with the (verified cadence, optimal procurement) policy and save: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Per-path hourly schedule in long format (all decision variables: g_lmp, g_toll, train, inf, compute-MWh, FLOPS, tokens, BESS dispatch if enabled).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Averaged-across-paths hourly schedule with ±std for every variable.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Per-cadence mean/std/percentile summary CSV.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Console: first 24 hours at HOUSTON with mean ± std annotations.</w:t>
      </w:r>
    </w:p>
    <w:p>
      <w:pPr>
        <w:pStyle w:val="Heading2"/>
      </w:pPr>
      <w:r>
        <w:rPr>
          <w:b/>
          <w:bCs/>
        </w:rPr>
        <w:t xml:space="preserve">Inputs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060"/>
      </w:tblGrid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Group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 / Default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Hourly RT LMP (HB_HOUSTON, HB_WEST)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ERCOT DAM 2025, shifted +1 yr; MC paths from OU calibration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Tolling cost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(HH_daily + $3/MMBtu) × 9.5 MMBtu/MWh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BESS 6-month lease per site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 M (= $60 M / 15 yr / 2 + $2 M / 2)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Facility cap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MWh/hr (= 100/site)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 cap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 cMWh/hr (= 80/site after PUE 1.25)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Hardware throughput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FLOPS_PER_COMPUTE_MWH = 1.83 × 10²¹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 daily training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MWh-grid/day, system-total (mandatory)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 projection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log10(P) = −49.66 + 1.32e-3·day (post-2020 fit, 5× multiplier)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FLOPS projection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log10(petaFLOPS) = −9.82 + 1.72·log10(P)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 fixed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Starts 6/1/2026, 100 % compute, ~10 days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price (peak)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$30/MM input + $180/MM output ⇒ $80/MM blended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Tokens per compute-MWh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2.604 × 10⁹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Decay halflife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days (sensitivity available)</w:t>
            </w:r>
          </w:p>
        </w:tc>
      </w:tr>
    </w:tbl>
    <w:p>
      <w:pPr>
        <w:pStyle w:val="Heading1"/>
      </w:pPr>
      <w:r>
        <w:rPr>
          <w:b/>
          <w:bCs/>
        </w:rPr>
        <w:t xml:space="preserve">Report</w:t>
      </w:r>
    </w:p>
    <w:p>
      <w:pPr>
        <w:spacing w:after="120"/>
      </w:pPr>
      <w:r>
        <w:t xml:space="preserve">(Sections below to be written; planning sections above describe the model setup and serve as input.)</w:t>
      </w:r>
    </w:p>
    <w:p>
      <w:pPr>
        <w:pStyle w:val="Heading2"/>
      </w:pPr>
      <w:r>
        <w:rPr>
          <w:b/>
          <w:bCs/>
        </w:rPr>
        <w:t xml:space="preserve">Executive Summary</w:t>
      </w:r>
    </w:p>
    <w:p>
      <w:pPr>
        <w:pStyle w:val="Heading2"/>
      </w:pPr>
      <w:r>
        <w:rPr>
          <w:b/>
          <w:bCs/>
        </w:rPr>
        <w:t xml:space="preserve">Model Setup</w:t>
      </w:r>
    </w:p>
    <w:p>
      <w:pPr>
        <w:pStyle w:val="Heading3"/>
      </w:pPr>
      <w:r>
        <w:rPr>
          <w:b/>
          <w:bCs/>
        </w:rPr>
        <w:t xml:space="preserve">Inference + Training</w:t>
      </w:r>
    </w:p>
    <w:p>
      <w:pPr>
        <w:spacing w:after="120"/>
      </w:pPr>
      <w:r>
        <w:t xml:space="preserve">Data Inputs</w:t>
      </w:r>
    </w:p>
    <w:p>
      <w:pPr>
        <w:spacing w:after="120"/>
      </w:pPr>
      <w:r>
        <w:t xml:space="preserve">Assumptions</w:t>
      </w:r>
    </w:p>
    <w:p>
      <w:pPr>
        <w:spacing w:after="120"/>
      </w:pPr>
      <w:r>
        <w:t xml:space="preserve">Constraints</w:t>
      </w:r>
    </w:p>
    <w:p>
      <w:pPr>
        <w:pStyle w:val="Heading3"/>
      </w:pPr>
      <w:r>
        <w:rPr>
          <w:b/>
          <w:bCs/>
        </w:rPr>
        <w:t xml:space="preserve">Power</w:t>
      </w:r>
    </w:p>
    <w:p>
      <w:pPr>
        <w:spacing w:after="120"/>
      </w:pPr>
      <w:r>
        <w:t xml:space="preserve">Data Inputs</w:t>
      </w:r>
    </w:p>
    <w:p>
      <w:pPr>
        <w:spacing w:after="120"/>
      </w:pPr>
      <w:r>
        <w:t xml:space="preserve">Assumptions</w:t>
      </w:r>
    </w:p>
    <w:p>
      <w:pPr>
        <w:spacing w:after="120"/>
      </w:pPr>
      <w:r>
        <w:t xml:space="preserve">Constraints</w:t>
      </w:r>
    </w:p>
    <w:p>
      <w:pPr>
        <w:pStyle w:val="Heading3"/>
      </w:pPr>
      <w:r>
        <w:rPr>
          <w:b/>
          <w:bCs/>
        </w:rPr>
        <w:t xml:space="preserve">Workflow (Descriptive Model) &amp; The Code</w:t>
      </w:r>
    </w:p>
    <w:p>
      <w:pPr>
        <w:pStyle w:val="Heading2"/>
      </w:pPr>
      <w:r>
        <w:rPr>
          <w:b/>
          <w:bCs/>
        </w:rPr>
        <w:t xml:space="preserve">Results / Sensitivities</w:t>
      </w:r>
    </w:p>
    <w:p>
      <w:pPr>
        <w:pStyle w:val="Heading2"/>
      </w:pPr>
      <w:r>
        <w:rPr>
          <w:b/>
          <w:bCs/>
        </w:rPr>
        <w:t xml:space="preserve">Analysis</w:t>
      </w:r>
    </w:p>
    <w:p>
      <w:pPr>
        <w:pStyle w:val="Heading2"/>
      </w:pPr>
      <w:r>
        <w:rPr>
          <w:b/>
          <w:bCs/>
        </w:rPr>
        <w:t xml:space="preserve">Conclusion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F3F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2026-05-17T04:09:33.771Z</dcterms:created>
  <dcterms:modified xsi:type="dcterms:W3CDTF">2026-05-17T04:09:33.773Z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