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>Tolling parameters. The capacity payment is a flat $ cost over the 6-month horizon (paid for the right to call on the SCGT regardless of dispatch), not a per-MWh adder — so it lives outside the LP and is applied at the procurement-comparison level alongside the BESS lease: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RFP — gas premium above HH spot (applied inside the toll's variable cost)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Scenario.toll_max_mwh_per_day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 (unconstrained)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MWh cap on Houston toll. Empirical brackets in assumptions.py: TOLL_DAILY_CAP_PEAKER=720, _INTERMEDIATE=1500, _NEAR_NAMEPLATE=2280 (anchored to EIA SCGT capacity-factor history). --toll-cap-sweep runs all four on the sweep driver.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TOLL_CAPACITY_PAYMENT_PER_KW_MONTH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$8/kW-mo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Capacity payment for the toll option (RFP didn't specify). $4.8M for the 6-month horizon at 100 MW. Anchored to $5–$15/kW-mo SCGT range from ERCOT public IPP disclosures (Calpine/Vistra/NRG 10-Ks).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>Or $6M total if BESS is active at both sites. This fixed cost is excluded from the LP objective (it's a constant — constants don't change dispatch decisions) and applied at the procurement-comparison level in compute_breakdown so per-scenario profit numbers reflect it. The Houston toll capacity payment ($4.8M for the 6-month horizon at the $8/kW-mo default) is treated symmetrically.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>Fixed costs (BESS_6mo_lease × |bess_sites|, TOLL_6mo_capacity_payment × use_houston_tolling) are NOT in the LP objective above — they're constants from the LP's perspective and don't affect hourly dispatch. They're netted into profit at the procurement-comparison level in compute_breakdown.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Scenario.toll_max_mwh_per_day (peaker 720 / intermediate 1500 / near-nameplate 2280 — EIA-anchored brackets)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Four result charts auto-rendered into model/outputs/figures/ via plots.py: train/inf diurnal profile, attributed power cost per day for train vs inf, daily procurement mix (and BESS dispatch when active), and LMP/toll-cost overlay with daily toll-exercise frequency. Regenerated on every headline run; failures are caught and logged so the LP itself is unaffected.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Scenario.toll_max_mwh_per_day</w:t>
      </w:r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Capacity payment — TOLL_CAPACITY_PAYMENT_PER_KW_MONTH defaults to $8/kW-mo ($4.8M for the 6-month horizon at 100 MW), midpoint of the $5–$15/kW-mo SCGT range from ERCOT public IPP disclosures (Calpine/Vistra/NRG 10-Ks). RFP didn't specify a value. Phase C's procurement decision nets this against the toll option's gross marginal value (LMP-hours where toll dispatches at &lt; LMP).</w:t>
      </w:r>
      <w:r/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monte_carlo.apply_drift(). Baseline 2026 = 0 % both, consistent with EIA May-2026 STEO (HH 2026 forecast $3.50/MMBtu vs 2025 actual $3.53). Geopolitical oil overlay: a +30 % Brent shock translates to gas_drift_pct ≈ 0.06 (Brent→HH elasticity ≈ 0.2 via LNG-pull) and power_drift_pct ≈ 0.03 (HH→LMP elasticity ≈ 0.5 via gas-on-margin pass-through).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Data sources and citations</w:t>
      </w:r>
    </w:p>
    <w:p>
      <w:pPr>
        <w:spacing w:after="120"/>
      </w:pPr>
      <w:r>
        <w:t xml:space="preserve">Vendored data files (used directly by the calibration / LP):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data/HH_full.csv - Henry Hub daily spot price ($/MMBtu), EIA Natural Gas Weekly. Source: eia.gov/dnav/ng/hist/rngwhhdD.htm.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data/rpt.00013060.0000000000000000.DAMLZHBSPP_2025.xlsx - ERCOT 2025 Day-Ahead Market hourly settlement-point prices, HB_HOUSTON and HB_WEST. Source: ercot.com (Market Information / DAM SPP report).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data/artificial-intelligence-parameter-count.csv - Epoch AI parameter-count time series. Source: epochai.org (Notable AI Models dataset), distributed by Our World in Data under CC BY.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data/ai-training-computation-vs-parameters-by-researcher-affiliation.csv - Epoch AI training-compute vs parameters panel. Source: epochai.org, distributed by Our World in Data under CC BY.</w:t>
      </w:r>
    </w:p>
    <w:p>
      <w:pPr>
        <w:spacing w:after="120"/>
      </w:pPr>
      <w:r>
        <w:t xml:space="preserve">Cited inline in the planning doc (Epoch AI / OWID series and token-price model):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Epoch AI - Notable AI Models dataset. Primary source for both vendored CSVs above; the post-2020 log-linear param fit and the params -&gt; petaFLOPS power-law fit are derived from this panel via fit_growth_curves.py. </w:t>
      </w:r>
      <w:hyperlink w:history="1" r:id="rIdtvq6cfde84d4u6r7ihmr-">
        <w:r>
          <w:rPr>
            <w:rStyle w:val="Hyperlink"/>
            <w:color w:val="0563C1"/>
            <w:u w:val="single"/>
          </w:rPr>
          <w:t xml:space="preserve">epochai.org/data/notable-ai-models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Our World in Data - Parameters in notable artificial intelligence systems. The chart format the planning doc reproduces; proximate attribution for the Epoch AI CSV used in our fits. </w:t>
      </w:r>
      <w:hyperlink w:history="1" r:id="rIdp0exdob3njqd8bdxtyb9o">
        <w:r>
          <w:rPr>
            <w:rStyle w:val="Hyperlink"/>
            <w:color w:val="0563C1"/>
            <w:u w:val="single"/>
          </w:rPr>
          <w:t xml:space="preserve">ourworldindata.org/.../artificial-intelligence-parameter-count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benchlm.ai - LLM pricing index. Source for the GPT-5.4Pro frontier-peak token prices ($30/MM input, $180/MM output) used in the blended $80/MM-token inference revenue calculation. Replace with the project team's finalized per-release price curve when it lands. </w:t>
      </w:r>
      <w:hyperlink w:history="1" r:id="rIds_hmpk-yhdkb2qhmsqewz">
        <w:r>
          <w:rPr>
            <w:rStyle w:val="Hyperlink"/>
            <w:color w:val="0563C1"/>
            <w:u w:val="single"/>
          </w:rPr>
          <w:t xml:space="preserve">benchlm.ai/llm-pricing</w:t>
        </w:r>
      </w:hyperlink>
      <w:r>
        <w:t xml:space="preserve"/>
      </w:r>
    </w:p>
    <w:p>
      <w:pPr>
        <w:spacing w:after="120"/>
      </w:pPr>
      <w:r>
        <w:t xml:space="preserve">External references used to anchor TBD/sensitivity inputs in this report:</w:t>
      </w:r>
    </w:p>
    <w:p>
      <w:pPr>
        <w:pStyle w:val="Heading2"/>
      </w:pPr>
      <w:r>
        <w:rPr>
          <w:b/>
          <w:bCs/>
        </w:rPr>
        <w:t xml:space="preserve">Tolling daily MWh cap (TOLL_DAILY_CAP_PEAKER / INTERMEDIATE / NEAR_NAMEPLATE)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w:history="1" r:id="rIdnmzagwii-oo-qekw64uzu">
        <w:r>
          <w:rPr>
            <w:rStyle w:val="Hyperlink"/>
            <w:color w:val="0563C1"/>
            <w:u w:val="single"/>
          </w:rPr>
          <w:t xml:space="preserve">eia.gov/todayinenergy/detail.php?id=55680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w:history="1" r:id="rIdn2sdfa1-jd1vvyoknybjh">
        <w:r>
          <w:rPr>
            <w:rStyle w:val="Hyperlink"/>
            <w:color w:val="0563C1"/>
            <w:u w:val="single"/>
          </w:rPr>
          <w:t xml:space="preserve">eia.gov/electricity/data/eia923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offtaker direct dispatch rights over the full asset envelope (near-nameplate convention). </w:t>
      </w:r>
      <w:hyperlink w:history="1" r:id="rId6bz3gfdcyzmf3dnbvayaf">
        <w:r>
          <w:rPr>
            <w:rStyle w:val="Hyperlink"/>
            <w:color w:val="0563C1"/>
            <w:u w:val="single"/>
          </w:rPr>
          <w:t xml:space="preserve">modoenergy.com/.../ercot-explainer-part-one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GridStor - Fortune 500 tolling pact for a 150 MW / 350 MWh ERCOT battery (Dec 2025). Recent comparable disclosing contract structure for the near-nameplate bracket. </w:t>
      </w:r>
      <w:hyperlink w:history="1" r:id="rIdms50bkhbqw3lfvpva-mnm">
        <w:r>
          <w:rPr>
            <w:rStyle w:val="Hyperlink"/>
            <w:color w:val="0563C1"/>
            <w:u w:val="single"/>
          </w:rPr>
          <w:t xml:space="preserve">stocktitan.net/.../gridstor-tolling-agreement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w:history="1" r:id="rId_waoyzahyozapqvjsk0oi">
        <w:r>
          <w:rPr>
            <w:rStyle w:val="Hyperlink"/>
            <w:color w:val="0563C1"/>
            <w:u w:val="single"/>
          </w:rPr>
          <w:t xml:space="preserve">rfp.entergy.com/.../MUCPA-Tolling.pdf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Forward-curve drift (--gas-drift-pct / --power-drift-pct)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gas_drift_pct = 0). 2026 LNG export forecast = 17.0 Bcf/d (up from 15.1 in 2025), near peak export-complex capacity. </w:t>
      </w:r>
      <w:hyperlink w:history="1" r:id="rId19gikv2rbl9pglimyj8nf">
        <w:r>
          <w:rPr>
            <w:rStyle w:val="Hyperlink"/>
            <w:color w:val="0563C1"/>
            <w:u w:val="single"/>
          </w:rPr>
          <w:t xml:space="preserve">eia.gov/outlooks/steo/report/natgas.php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Mbbl/d of Mideast production shut-in. </w:t>
      </w:r>
      <w:hyperlink w:history="1" r:id="rIdn5wyzouidsonc2-iwh338">
        <w:r>
          <w:rPr>
            <w:rStyle w:val="Hyperlink"/>
            <w:color w:val="0563C1"/>
            <w:u w:val="single"/>
          </w:rPr>
          <w:t xml:space="preserve">eia.gov/outlooks/steo/pdf/steo_full.pdf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w:history="1" r:id="rIdt0ac9jboscwx5nkbqqywf">
        <w:r>
          <w:rPr>
            <w:rStyle w:val="Hyperlink"/>
            <w:color w:val="0563C1"/>
            <w:u w:val="single"/>
          </w:rPr>
          <w:t xml:space="preserve">eia.gov/todayinenergy/detail.php?id=67004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w:history="1" r:id="rIdarf1rat1xxb5lqbzlwuyd">
        <w:r>
          <w:rPr>
            <w:rStyle w:val="Hyperlink"/>
            <w:color w:val="0563C1"/>
            <w:u w:val="single"/>
          </w:rPr>
          <w:t xml:space="preserve">eia.gov/pressroom/releases/press588.php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Rigzone (May 20, 2026) - EIA lowers Henry Hub forecast for 2026, 2027. Documents the May-vs-April STEO revision ($3.67 -&gt; $3.50/MMBtu) - useful for justifying baseline gas_drift_pct = 0 against a contemporaneous-news critique. </w:t>
      </w:r>
      <w:hyperlink w:history="1" r:id="rId4jdar-qs0hvmvkasbnyvx">
        <w:r>
          <w:rPr>
            <w:rStyle w:val="Hyperlink"/>
            <w:color w:val="0563C1"/>
            <w:u w:val="single"/>
          </w:rPr>
          <w:t xml:space="preserve">rigzone.com/.../usa-eia-lowers-henry-hub-price-forecast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w:history="1" r:id="rIdderaqym_qxzx4vyubrnlf">
        <w:r>
          <w:rPr>
            <w:rStyle w:val="Hyperlink"/>
            <w:color w:val="0563C1"/>
            <w:u w:val="single"/>
          </w:rPr>
          <w:t xml:space="preserve">spglobal.com/.../texas-summer-power-prices-2025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w:history="1" r:id="rIdsxvzmrnr9s_klnvdxcksu">
        <w:r>
          <w:rPr>
            <w:rStyle w:val="Hyperlink"/>
            <w:color w:val="0563C1"/>
            <w:u w:val="single"/>
          </w:rPr>
          <w:t xml:space="preserve">potomaceconomics.com/.../2024-State-of-the-Market-Report.pdf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AI-structural drift baseline (--gas-drift-pct 0.005 / --power-drift-pct 0.01)</w:t>
      </w:r>
    </w:p>
    <w:p>
      <w:pPr>
        <w:spacing w:after="120"/>
      </w:pPr>
      <w:r>
        <w:t xml:space="preserve">Separate driver from the Brent/geopolitical scenarios above: secular load growth from data-center buildout. Translated from the sources below into a roughly +1 %/yr LMP, +0.5 %/yr HH structural drift, prorated to ~half a year for the June-December 2026 horizon.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ERCOT Capacity, Demand and Reserves (CDR) Report - December 2024 release. Forecasts peak demand growth ~5-7 %/yr through 2030 driven heavily by data-center and crypto load, with reserve margins tightening. Primary anchor for the 'AI-structural' load-growth scenario. </w:t>
      </w:r>
      <w:hyperlink w:history="1" r:id="rIdnaqdikiz0-zcuvplqch8u">
        <w:r>
          <w:rPr>
            <w:rStyle w:val="Hyperlink"/>
            <w:color w:val="0563C1"/>
            <w:u w:val="single"/>
          </w:rPr>
          <w:t xml:space="preserve">ercot.com/.../CDR_December2024.pdf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Annual Energy Outlook 2026 - Reference case for ERCOT shows electricity sales growth ~3-4 %/yr and a continued role for gas-fired generation on the margin. Translates to roughly +2 %/yr on average LMP and +1 %/yr on HH in the project horizon. </w:t>
      </w:r>
      <w:hyperlink w:history="1" r:id="rIdn7m-ay3huxoh9p43xov7q">
        <w:r>
          <w:rPr>
            <w:rStyle w:val="Hyperlink"/>
            <w:color w:val="0563C1"/>
            <w:u w:val="single"/>
          </w:rPr>
          <w:t xml:space="preserve">eia.gov/outlooks/aeo</w:t>
        </w:r>
      </w:hyperlink>
      <w:r>
        <w:t xml:space="preserve"/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vq6cfde84d4u6r7ihmr-" Type="http://schemas.openxmlformats.org/officeDocument/2006/relationships/hyperlink" Target="https://epochai.org/data/notable-ai-models" TargetMode="External"/><Relationship Id="rIdp0exdob3njqd8bdxtyb9o" Type="http://schemas.openxmlformats.org/officeDocument/2006/relationships/hyperlink" Target="https://ourworldindata.org/grapher/artificial-intelligence-parameter-count" TargetMode="External"/><Relationship Id="rIds_hmpk-yhdkb2qhmsqewz" Type="http://schemas.openxmlformats.org/officeDocument/2006/relationships/hyperlink" Target="https://benchlm.ai/llm-pricing" TargetMode="External"/><Relationship Id="rIdnmzagwii-oo-qekw64uzu" Type="http://schemas.openxmlformats.org/officeDocument/2006/relationships/hyperlink" Target="https://www.eia.gov/todayinenergy/detail.php?id=55680" TargetMode="External"/><Relationship Id="rIdn2sdfa1-jd1vvyoknybjh" Type="http://schemas.openxmlformats.org/officeDocument/2006/relationships/hyperlink" Target="https://www.eia.gov/electricity/data/eia923/" TargetMode="External"/><Relationship Id="rId6bz3gfdcyzmf3dnbvayaf" Type="http://schemas.openxmlformats.org/officeDocument/2006/relationships/hyperlink" Target="https://modoenergy.com/research/en/battery-bess-offtake-tolling-agreements-route-market-contracts-ercot-explainer-part-one" TargetMode="External"/><Relationship Id="rIdms50bkhbqw3lfvpva-mnm" Type="http://schemas.openxmlformats.org/officeDocument/2006/relationships/hyperlink" Target="https://www.stocktitan.net/news/GS/grid-stor-announces-tolling-agreement-and-start-of-construction-for-86v9on13jxdv.html" TargetMode="External"/><Relationship Id="rId_waoyzahyozapqvjsk0oi" Type="http://schemas.openxmlformats.org/officeDocument/2006/relationships/hyperlink" Target="https://rfp.entergy.com/entrfp/send/Final%20RFP%20MUCPA%20-%20Tolling.pdf" TargetMode="External"/><Relationship Id="rId19gikv2rbl9pglimyj8nf" Type="http://schemas.openxmlformats.org/officeDocument/2006/relationships/hyperlink" Target="https://www.eia.gov/outlooks/steo/report/natgas.php" TargetMode="External"/><Relationship Id="rIdn5wyzouidsonc2-iwh338" Type="http://schemas.openxmlformats.org/officeDocument/2006/relationships/hyperlink" Target="https://www.eia.gov/outlooks/steo/pdf/steo_full.pdf" TargetMode="External"/><Relationship Id="rIdt0ac9jboscwx5nkbqqywf" Type="http://schemas.openxmlformats.org/officeDocument/2006/relationships/hyperlink" Target="https://www.eia.gov/todayinenergy/detail.php?id=67004" TargetMode="External"/><Relationship Id="rIdarf1rat1xxb5lqbzlwuyd" Type="http://schemas.openxmlformats.org/officeDocument/2006/relationships/hyperlink" Target="https://www.eia.gov/pressroom/releases/press588.php" TargetMode="External"/><Relationship Id="rId4jdar-qs0hvmvkasbnyvx" Type="http://schemas.openxmlformats.org/officeDocument/2006/relationships/hyperlink" Target="https://www.rigzone.com/news/usa_eia_lowers_henry_hub_price_forecast_for_2026_2027-20-may-2026-183738-article/" TargetMode="External"/><Relationship Id="rIdderaqym_qxzx4vyubrnlf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sxvzmrnr9s_klnvdxcksu" Type="http://schemas.openxmlformats.org/officeDocument/2006/relationships/hyperlink" Target="https://www.potomaceconomics.com/wp-content/uploads/2025/06/2024-State-of-the-Market-Report.pdf" TargetMode="External"/><Relationship Id="rIdnaqdikiz0-zcuvplqch8u" Type="http://schemas.openxmlformats.org/officeDocument/2006/relationships/hyperlink" Target="https://www.ercot.com/files/docs/2025/02/12/CapacityDemandandReservesReport_December2024.pdf" TargetMode="External"/><Relationship Id="rIdn7m-ay3huxoh9p43xov7q" Type="http://schemas.openxmlformats.org/officeDocument/2006/relationships/hyperlink" Target="https://www.eia.gov/outlooks/aeo/" TargetMode="External"/><Relationship Id="rId2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2026-05-21T05:10:06.498Z</dcterms:created>
  <dcterms:modified xsi:type="dcterms:W3CDTF">2026-05-21T05:10:06.500Z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