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average. The CSV is dated 2023, so the 5× bridges 2023 → 2026 frontier.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daily cap (RFP refers to one; value not specified)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TOLL_MAX_MWH_PER_DAY (TBD)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PUE</w:t>
      </w:r>
      <w:r>
        <w:t xml:space="preserve"> — currently 1.25, applied uniformly. Hyperscale data centers run 1.10–1.40 depending on cooling, climate, and load factor; a Houston-vs-West Texas differential is plausible.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TOLL_MAX_MWH_PER_DAY</w:t>
      </w:r>
      <w:r>
        <w:t xml:space="preserve"> — RFP mentions a daily MWh cap on Houston tolling but doesn't specify the value. Currently `None` (no daily cap). Tighter caps would lower realized toll 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 (with deterministic baseline = 2025 hourly DAM shifted +1 year). No structural drift / forward-curve adjustment for fuel-price changes 2025 → 2026. If gas or load forecasts indicate meaningful drift, an additive shift or recalibrated long-run mean would tighten the estimate.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partially covered, not yet ported into the LP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 and MC simulator from that repo, but have not yet ported phase 4. Open items: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 and decide whether to also overlay them as constraints in the LP.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</w:t>
      </w:r>
      <w:r>
        <w:t xml:space="preserve"> — phase 4 overlays three winter-storm analogs on the MC paths (mild 72h cold snap, moderate Uri at $500–1500/MWh + $20/MMBtu gas, full Uri replay at the $9000/MWh cap + $250/MMBtu gas) and values the toll option as tail insurance. The scenarios exist; they are not currently injected into our MC paths. Action item: port the spike-injection logic into `monte_carlo.simulate_paths` (or a wrapper), then re-run Phase C — we expect the toll option's value to rise materially.</w:t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2026-05-17T04:24:54.032Z</dcterms:created>
  <dcterms:modified xsi:type="dcterms:W3CDTF">2026-05-17T04:24:54.034Z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