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average. The CSV is dated 2023, so the 5× bridges 2023 → 2026 frontier.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daily cap (RFP refers to one; value not specified)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TOLL_MAX_MWH_PER_DAY (TBD)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PUE</w:t>
      </w:r>
      <w:r>
        <w:t xml:space="preserve"> — currently 1.25, applied uniformly. Hyperscale data centers run 1.10–1.40 depending on cooling, climate, and load factor; a Houston-vs-West Texas differential is plausible.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TOLL_MAX_MWH_PER_DAY</w:t>
      </w:r>
      <w:r>
        <w:t xml:space="preserve"> — RFP mentions a daily MWh cap on Houston tolling but doesn't specify the value. Currently `None` (no daily cap). Tighter caps would lower realized toll 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 (with deterministic baseline = 2025 hourly DAM shifted +1 year). No structural drift / forward-curve adjustment for fuel-price changes 2025 → 2026. If gas or load forecasts indicate meaningful drift, an additive shift or recalibrated long-run mean would tighten the estimate.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2026-05-17T04:34:16.311Z</dcterms:created>
  <dcterms:modified xsi:type="dcterms:W3CDTF">2026-05-17T04:34:16.313Z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