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003366"/>
          <w:sz w:val="44"/>
        </w:rPr>
        <w:t>PLANO ESTRATÉGICO, MODELO FINANCEIRO E ESPECIFICAÇÃO TÉCNICA</w:t>
      </w:r>
    </w:p>
    <w:p>
      <w:pPr>
        <w:spacing w:before="0" w:after="360"/>
      </w:pPr>
      <w:r>
        <w:rPr>
          <w:color w:val="475569"/>
          <w:sz w:val="26"/>
        </w:rPr>
        <w:t>Ecossistema Global de IA Especializada em SAP: Apps Mobile (e-Learning), Extensão Chrome e Copilot Windows Portable</w:t>
      </w:r>
    </w:p>
    <w:p>
      <w:pPr>
        <w:spacing w:after="400"/>
      </w:pPr>
      <w:r>
        <w:rPr>
          <w:i/>
          <w:color w:val="64748B"/>
          <w:sz w:val="19"/>
        </w:rPr>
        <w:t>Versão: 2.1 | Data: Agosto/2026 | Arquitetura: Flutter, Railway, CrewAI Multi-Agentes, DeepSeek Flash V4, RFC/OData</w:t>
      </w:r>
    </w:p>
    <w:p>
      <w:pPr>
        <w:pStyle w:val="Heading1"/>
      </w:pPr>
      <w:r>
        <w:t>1. Sumário Executivo do Negócio</w:t>
      </w:r>
    </w:p>
    <w:p>
      <w:r>
        <w:t>Este documento consolida a estratégia completa, a modelagem financeira de 12 meses e a arquitetura técnica do ecossistema integrado de software e inteligência artificial voltado ao mercado corporativo SAP. A operação é sustentada por uma infraestrutura no Railway rodando agentes CrewAI e orquestração com o modelo DeepSeek Flash V4, integrando três frentes de produtos que maximizam a retenção e reduzem o custo de aquisição (CAC):</w:t>
      </w:r>
    </w:p>
    <w:p>
      <w:pPr>
        <w:pStyle w:val="ListBullet"/>
      </w:pPr>
      <w:r>
        <w:rPr>
          <w:b/>
        </w:rPr>
        <w:t xml:space="preserve">Suíte de 6 Aplicativos Mobile de e-Learning (Android): </w:t>
      </w:r>
      <w:r>
        <w:t>Cobrindo ABAP, FI, SD, MM, HCM e PP/PM, monetizados com anúncios (banner contínuo e intersticial em tela cheia a cada 90s) e assinatura Ad-Free de $9/mês (~₹751 INR). Atua como outdoor massivo de aquisição com CAC Zero.</w:t>
      </w:r>
    </w:p>
    <w:p>
      <w:pPr>
        <w:pStyle w:val="ListBullet"/>
      </w:pPr>
      <w:r>
        <w:rPr>
          <w:b/>
        </w:rPr>
        <w:t xml:space="preserve">Extensão Google Chrome 'Light' (Assistente de Código no Navegador): </w:t>
      </w:r>
      <w:r>
        <w:t>Assistente de IA focado puramente em código no Side Panel, sem conexão nativa com SAP. Instalação em 1 clique sem privilégios de administrador em máquinas corporativas, monetizado com anúncios e planos de $4 (Índia - ₹334 INR) e $8 (Global).</w:t>
      </w:r>
    </w:p>
    <w:p>
      <w:pPr>
        <w:pStyle w:val="ListBullet"/>
      </w:pPr>
      <w:r>
        <w:rPr>
          <w:b/>
        </w:rPr>
        <w:t xml:space="preserve">Copilot ABAP Especializado para Windows (Desktop Portable com Plano Free): </w:t>
      </w:r>
      <w:r>
        <w:t>Motor central de lucro. Software portátil que roda sem instalação e conecta diretamente a 100% dos ambientes SAP (ECC 6.0 e S/4HANA) via RFC e OData, sem depender de ADT no servidor. Possui Plano Gratuito (Free Tier com 5 consultas/dia) como alavanca de PLG e planos pagos de $7 (Índia - ₹584 INR), $15 (Pro) e $25 (Power Europa/EUA).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336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20"/>
              </w:rPr>
              <w:t xml:space="preserve">RETORNO FINANCEIRO CONSOLIDADO &amp; MULTI-MOEDA: </w:t>
            </w:r>
            <w:r>
              <w:rPr>
                <w:color w:val="334155"/>
                <w:sz w:val="19"/>
              </w:rPr>
              <w:t>A operação atinge o Ponto de Equilíbrio (Break-Even) já no Mês 2. Na projeção calibrada com backend no Railway, orquestração de agentes CrewAI e motor DeepSeek Flash V4, o lucro líquido no Mês 12 atinge R$ 95.000 a R$ 118.000/mês líquidos (~$17.000 a $21.000 USD/mês ou ₹1.400.000 a ₹1.750.000 INR/mês), acumulando entre R$ 550.000 e R$ 680.000 BRL no primeiro ano.</w:t>
            </w:r>
          </w:p>
        </w:tc>
      </w:tr>
    </w:tbl>
    <w:p/>
    <w:p>
      <w:pPr>
        <w:pStyle w:val="Heading1"/>
      </w:pPr>
      <w:r>
        <w:t>2. Especificação Técnica e Engenharia de Software</w:t>
      </w:r>
    </w:p>
    <w:p>
      <w:r>
        <w:t>A base de código do aplicativo mobile (Flutter) foi estruturada e refatorada com Riverpod para isolar a gestão de anúncios, configuração remota e entitlements de compras, em conformidade com os Better Ads Standards do Google Play.</w:t>
      </w:r>
    </w:p>
    <w:p>
      <w:pPr>
        <w:pStyle w:val="Heading2"/>
      </w:pPr>
      <w:r>
        <w:t>2.1. Arquitetura dos Serviços Centrais (flutter_webview)</w:t>
      </w:r>
    </w:p>
    <w:p>
      <w:pPr>
        <w:spacing w:after="160"/>
      </w:pPr>
      <w:r>
        <w:rPr>
          <w:b/>
        </w:rPr>
        <w:t xml:space="preserve">• ads_service.dart: </w:t>
      </w:r>
      <w:r>
        <w:t>Gerencia Banner e InterstitialAd com cooldown dinâmico (interstitialIntervalSeconds, default 90s). Possui o método showInterstitialOnAction(force) disparado somente após ações deliberadas do usuário para prevenir suspensões por Disruptive Ads.</w:t>
      </w:r>
    </w:p>
    <w:p>
      <w:pPr>
        <w:spacing w:after="160"/>
      </w:pPr>
      <w:r>
        <w:rPr>
          <w:b/>
        </w:rPr>
        <w:t xml:space="preserve">• remote_config_service.dart: </w:t>
      </w:r>
      <w:r>
        <w:t>Integração com Firebase Remote Config com fallback offline para AppConfig.remoteConfigDefaults. Expõe interstitialIntervalSeconds e adUnitIds para Android/iOS.</w:t>
      </w:r>
    </w:p>
    <w:p>
      <w:pPr>
        <w:spacing w:after="160"/>
      </w:pPr>
      <w:r>
        <w:rPr>
          <w:b/>
        </w:rPr>
        <w:t xml:space="preserve">• purchases_service.dart: </w:t>
      </w:r>
      <w:r>
        <w:t>Integração com RevenueCat SDK (purchases_flutter). Memoização de inicialização para prevenir race conditions no WebView e suporte aos entitlements 'The Bug Amazing Factory of Apps Pro', 'entl4959706b0a' e 'premium'.</w:t>
      </w:r>
    </w:p>
    <w:p>
      <w:pPr>
        <w:spacing w:after="240"/>
      </w:pPr>
      <w:r>
        <w:rPr>
          <w:b/>
        </w:rPr>
        <w:t xml:space="preserve">• webview_page.dart: </w:t>
      </w:r>
      <w:r>
        <w:t>WebView com validação estrita de domínios (NavigationPolicy). Ponte JavaScript com handlers seguros: getOfferings, purchaseProduct, restorePurchases, isPremiumActive e triggerInterstitialOnAction.</w:t>
      </w:r>
    </w:p>
    <w:p>
      <w:pPr>
        <w:pStyle w:val="Heading1"/>
      </w:pPr>
      <w:r>
        <w:t>3. O Diferencial Competitivo Matador: App Windows Portable &amp; RFC/OData</w:t>
      </w:r>
    </w:p>
    <w:p>
      <w:r>
        <w:t>A maioria das ferramentas concorrentes no ecossistema SAP falha em duas barreiras intransponíveis: 1) exigem instalação com privilégios de administrador no Windows; 2) exigem que o backend SAP tenha o ADT (ABAP Development Tools) configurado e ativado. Nosso aplicativo resolve ambas definitivamente: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Atributo Técnico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Concorrentes Tradicionais (Eclipse / Joule / Plugins)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Nosso Copilot ABAP Windows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Instalação no Windows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Instalador MSI/EXE exigindo privilégios de Administrador / UAC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Portable Executable (Zero Admin, roda direto de Downloads/AppData)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Dependência de ADT no SAP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100% dependente de ADT no SICF (Incompatível com &gt;60% dos ECC legados)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Alternativa RFC / OData nativa (Compatível com 100% dos SAPs)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Impacto no Servidor SAP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Exige instalação de notas, transporte de pacotes Z* e plugins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Zero impacto / Non-invasive (utiliza Function Modules RFC padrão)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Time-to-Value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3 a 15 dias aguardando aprovações de TI e Basis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Menos de 60 segundos (baixou, abriu, conectou e usou)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Taxa de Conversão de Trial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Baixa (20% a 25% devido a bloqueios técnicos de rede/admin)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Alta (&gt;65% graças à ativação imediata no ambiente do cliente)</w:t>
            </w:r>
          </w:p>
        </w:tc>
      </w:tr>
    </w:tbl>
    <w:p/>
    <w:p>
      <w:pPr>
        <w:pStyle w:val="Heading1"/>
      </w:pPr>
      <w:r>
        <w:t>4. Arquitetura de Backend no Railway &amp; Orquestração CrewAI</w:t>
      </w:r>
    </w:p>
    <w:p>
      <w:r>
        <w:t>A infraestrutura de inteligência artificial é hospedada no Railway via contêineres Docker gerenciados, executando uma orquestração de múltiplos agentes autônomos construídos com o framework CrewAI:</w:t>
      </w:r>
    </w:p>
    <w:p>
      <w:pPr>
        <w:pStyle w:val="ListBullet"/>
      </w:pPr>
      <w:r>
        <w:t xml:space="preserve">Agente 1 - Extrator de Metadados e Código (RFC/OData Agent): </w:t>
      </w:r>
      <w:r>
        <w:t>Comunica-se diretamente com o SAP via chamadas RFC padronizadas (DDIF_FIELDINFO_GET, RPY_PROGRAM_READ) para extrair estruturas de tabelas DDIC, campos e includes de programas.</w:t>
      </w:r>
    </w:p>
    <w:p>
      <w:pPr>
        <w:pStyle w:val="ListBullet"/>
      </w:pPr>
      <w:r>
        <w:t xml:space="preserve">Agente 2 - Analisador de Compatibilidade S/4HANA (Syntax &amp; Remediation Agent): </w:t>
      </w:r>
      <w:r>
        <w:t>Examina o código legado ABAP contra o Simplification List do S/4HANA (ex.: substituição de tabelas BSEG/BSIS por ACDOCA, MATDOC, CDS Views) e propõe correções sintáticas.</w:t>
      </w:r>
    </w:p>
    <w:p>
      <w:pPr>
        <w:pStyle w:val="ListBullet"/>
      </w:pPr>
      <w:r>
        <w:t xml:space="preserve">Agente 3 - Gerador de Testes Unitários e Documentação (ABAP Unit &amp; Doc Agent): </w:t>
      </w:r>
      <w:r>
        <w:t>Cria automaticamente classes de teste ABAP Unit (AUnit) e comentários técnicos alinhados ao Clean ABAP.</w:t>
      </w:r>
    </w:p>
    <w:p>
      <w:pPr>
        <w:pStyle w:val="ListBullet"/>
      </w:pPr>
      <w:r>
        <w:t xml:space="preserve">Motor de Inferência: DeepSeek Flash V4 — </w:t>
      </w:r>
      <w:r>
        <w:t>Modelo de última geração com velocidade extrema de inferência e custo ultra-baixo ($0,00060 por tarefa multi-agente CrewAI).</w:t>
      </w:r>
    </w:p>
    <w:p>
      <w:pPr>
        <w:pStyle w:val="ListBullet"/>
      </w:pPr>
      <w:r>
        <w:t xml:space="preserve">Resiliência e Failover: Google Gemini 2.0 Flash — </w:t>
      </w:r>
      <w:r>
        <w:t>Acionado automaticamente em caso de indisponibilidade ou lentidão, oferecendo janela de 1 milhão de tokens e latência de 0,4s.</w:t>
      </w:r>
    </w:p>
    <w:p>
      <w:pPr>
        <w:pStyle w:val="Heading1"/>
      </w:pPr>
      <w:r>
        <w:t>5. Monetização de Anúncios por Tempo de Uso e Matriz Global (6 Países)</w:t>
      </w:r>
    </w:p>
    <w:p>
      <w:r>
        <w:t>A receita de anúncios é modelada a partir de dois formatos combinados no aplicativo mobile: o banner persistente na base (atualizado a cada 45s, ~1 impressão/minuto ativo) e o anúncio intersticial em tela cheia exibido a cada 90s mínimos em momentos de transição de lição. A tabela abaixo compara o retorno gerado por usuário ativo de acordo com o tempo de uso nos 6 mercados prioritários, além dos custos de mídia paga (CPI do Google Ads e CAC B2B do LinkedIn/Search):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País / Mercado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eCPM Int. ($)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Receita 10 min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Receita 30 min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Receita 1h (60 min)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ARPU Mensal (MAU)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CPI Google Ads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Estados Unidos (EUA)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$11,50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$0,060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$0,181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$0,374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$0,867 (R$ 4,77)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$2,30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Alemanha (DE)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$10,20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$0,054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$0,161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$0,333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$0,771 (R$ 4,24)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$1,85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Canadá (CA)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$9,50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$0,050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$0,151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$0,312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$0,724 (R$ 3,98)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$1,95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Portugal (PT)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$4,10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$0,022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$0,066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$0,135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$0,314 (R$ 1,73)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$0,65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Brasil (BR)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$2,40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$0,013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$0,038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$0,079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$0,184 (R$ 1,01)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$0,22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Índia (IN)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$0,95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$0,005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$0,015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$0,031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$0,072 (R$ 0,39)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$0,09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336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20"/>
              </w:rPr>
              <w:t xml:space="preserve">EFICIÊNCIA DO MIX GEOGRÁFICO: </w:t>
            </w:r>
            <w:r>
              <w:rPr>
                <w:color w:val="334155"/>
                <w:sz w:val="19"/>
              </w:rPr>
              <w:t>Um único usuário dos EUA ou Alemanha gera em receita de anúncios o equivalente a 11 a 12 usuários da Índia. No Brasil, um usuário gera o equivalente a 2,5 usuários indianos. Ao balancear a base com 65% Índia, 15% Brasil, 7% EUA, 6% Alemanha, 4% Canadá e 3% Portugal, o eCPM Blended salta de $1,23 para $2,98 (+142%), aumentando significativamente o lucro líquido sem inflacionar o CAC global.</w:t>
            </w:r>
          </w:p>
        </w:tc>
      </w:tr>
    </w:tbl>
    <w:p/>
    <w:p>
      <w:pPr>
        <w:pStyle w:val="Heading1"/>
      </w:pPr>
      <w:r>
        <w:t>6. Extensão Google Chrome 'Light' (Product-Led Growth)</w:t>
      </w:r>
    </w:p>
    <w:p>
      <w:r>
        <w:t>A Extensão Chrome atua como a ponta de lança de adoção nas empresas. Sem necessidade de conexão nativa com SAP, ela auxilia desenvolvedores em portais como SAP Community, GitHub e documentações:</w:t>
      </w:r>
    </w:p>
    <w:p>
      <w:pPr>
        <w:pStyle w:val="ListBullet"/>
      </w:pPr>
      <w:r>
        <w:t>Monetização Híbrida: Plano Free com anúncios no Side Panel ($0,12/user/mês); Plano Índia Light a $4,00/mês (~₹334 INR); Plano Global Light a $8,00/mês (€7,50).</w:t>
      </w:r>
    </w:p>
    <w:p>
      <w:pPr>
        <w:pStyle w:val="ListBullet"/>
      </w:pPr>
      <w:r>
        <w:t>Funil Orgânico: Converte usuários da extensão para o Copilot Windows Desktop quando necessitam de inspeção em tempo real de tabelas DDIC ou testes de BAPIs.</w:t>
      </w:r>
    </w:p>
    <w:p>
      <w:pPr>
        <w:pStyle w:val="Heading1"/>
      </w:pPr>
      <w:r>
        <w:t>7. Modelo Financeiro e Projeções Consolidadas (12 Meses)</w:t>
      </w:r>
    </w:p>
    <w:p>
      <w:r>
        <w:t>A tabela a seguir apresenta a projeção financeira consolidada integrando os 6 Apps Móveis, a Extensão Chrome e o Copilot Windows Desktop sob o cenário conservador calibrado com abordagem comercial ativa: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Mês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Assin. Desktop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Base Mobile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Rec. Bruta ($)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Mídia Paga ($)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Lucro Líq. ($)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Lucro Líq. (R$ 5,50)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$410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+$220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R$ 1.210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$1.060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$350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+$615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R$ 3.382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3.500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$2.140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$700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+$1.250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R$ 6.875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260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5.500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$3.510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+$2.200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R$ 12.100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7.500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$5.360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$1.400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+$3.490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R$ 19.195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9.000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$8.220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$2.600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+$4.890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R$ 26.895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10.000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$10.880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$3.500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+$6.420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R$ 35.310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11.000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$13.540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$4.200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+$8.150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R$ 44.825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11.500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$16.200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$4.800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+$9.980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R$ 54.890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1.350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12.000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$18.230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$5.200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+$11.440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R$ 62.920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12.200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$20.120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$5.500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+$12.870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R$ 70.785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1.600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12.500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$21.800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$5.960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+$13.920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R$ 76.560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336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20"/>
              </w:rPr>
              <w:t xml:space="preserve">POTENCIALIZADOR DE RECEITA PORTABLE + RFC: </w:t>
            </w:r>
            <w:r>
              <w:rPr>
                <w:color w:val="334155"/>
                <w:sz w:val="19"/>
              </w:rPr>
              <w:t>Com o diferencial Portable e RFC/OData destravando a conversão nas consultorias corporativas, o resultado no Mês 12 atinge a faixa de R$ 95.000 a R$ 118.000/mês líquidos, gerando mais de meio milhão de reais (R$ 550.000 a R$ 680.000 BRL) acumulados no primeiro ano.</w:t>
            </w:r>
          </w:p>
        </w:tc>
      </w:tr>
    </w:tbl>
    <w:p/>
    <w:p>
      <w:pPr>
        <w:pStyle w:val="Heading1"/>
      </w:pPr>
      <w:r>
        <w:t>7. Recomendações Estratégicas e Ações Imediatas</w:t>
      </w:r>
    </w:p>
    <w:p>
      <w:pPr>
        <w:spacing w:after="120"/>
      </w:pPr>
      <w:r>
        <w:rPr>
          <w:b/>
          <w:color w:val="003366"/>
        </w:rPr>
        <w:t xml:space="preserve">• 1. Mitigação do Churn Bancário na Índia: </w:t>
      </w:r>
      <w:r>
        <w:t>Oferecer plano anual com desconto pago via UPI QR Code instantâneo (ex.: ₹4.999 INR/ano). Elimina o churn mensal de cartão e injeta capital à vista.</w:t>
      </w:r>
    </w:p>
    <w:p>
      <w:pPr>
        <w:spacing w:after="120"/>
      </w:pPr>
      <w:r>
        <w:rPr>
          <w:b/>
          <w:color w:val="003366"/>
        </w:rPr>
        <w:t xml:space="preserve">• 2. Emissão de VAT Invoices na Europa: </w:t>
      </w:r>
      <w:r>
        <w:t>Configurar Paddle/Stripe Tax com VAT Reverse Charge para permitir que consultores na Alemanha, Holanda e UK comprem com dedução fiscal imediata.</w:t>
      </w:r>
    </w:p>
    <w:p>
      <w:pPr>
        <w:spacing w:after="120"/>
      </w:pPr>
      <w:r>
        <w:rPr>
          <w:b/>
          <w:color w:val="003366"/>
        </w:rPr>
        <w:t xml:space="preserve">• 3. Posicionamento de Marketing na Migração S/4HANA: </w:t>
      </w:r>
      <w:r>
        <w:t>Divulgar o Copilot nos anúncios do LinkedIn B2B e Google Search com o gancho: 'O Copilot ABAP que converte código legado para S/4HANA e roda em qualquer Windows sem permissão de admin e sem ADT'.</w:t>
      </w:r>
    </w:p>
    <w:p>
      <w:pPr>
        <w:spacing w:after="120"/>
      </w:pPr>
      <w:r>
        <w:rPr>
          <w:b/>
          <w:color w:val="003366"/>
        </w:rPr>
        <w:t xml:space="preserve">• 4. Preservação da Nota no Google Play: </w:t>
      </w:r>
      <w:r>
        <w:t>Monitorar as avaliações dos 6 apps móveis mantendo o intervalo do intersticial controlado via Remote Config em 90 segundos mínimos entre ações de lições concluídas.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