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DYRASmallCaps"/>
        <w:spacing w:before="0" w:after="200" w:line="276" w:lineRule="auto"/>
      </w:pPr>
      <w:r>
        <w:rPr>
          <w:rFonts w:ascii="Aptos" w:hAnsi="Aptos"/>
          <w:b/>
          <w:i w:val="0"/>
          <w:caps w:val="0"/>
          <w:color w:val="5B677A"/>
          <w:sz w:val="19"/>
        </w:rPr>
        <w:t>NDYRA BUILDBOOK</w:t>
      </w:r>
    </w:p>
    <w:p>
      <w:pPr>
        <w:pStyle w:val="NDYRATitle"/>
        <w:spacing w:before="0" w:after="200" w:line="276" w:lineRule="auto"/>
        <w:jc w:val="left"/>
      </w:pPr>
      <w:r>
        <w:rPr>
          <w:rFonts w:ascii="Aptos" w:hAnsi="Aptos"/>
          <w:b/>
          <w:i w:val="0"/>
          <w:caps w:val="0"/>
          <w:color w:val="10223B"/>
          <w:sz w:val="56"/>
        </w:rPr>
        <w:t>MemoryPack</w:t>
      </w:r>
    </w:p>
    <w:p>
      <w:pPr>
        <w:spacing w:before="0" w:after="120" w:line="276" w:lineRule="auto"/>
      </w:pPr>
      <w:r>
        <w:rPr>
          <w:rFonts w:ascii="Aptos" w:hAnsi="Aptos"/>
          <w:b/>
          <w:i w:val="0"/>
          <w:caps w:val="0"/>
          <w:color w:val="2B4A73"/>
          <w:sz w:val="36"/>
        </w:rPr>
        <w:t>CP116 - Final Code-Side Release Closeout</w:t>
      </w:r>
    </w:p>
    <w:p>
      <w:pPr>
        <w:spacing w:before="80" w:after="320" w:line="288" w:lineRule="auto"/>
      </w:pPr>
      <w:r>
        <w:rPr>
          <w:rFonts w:ascii="Aptos" w:hAnsi="Aptos"/>
          <w:b w:val="0"/>
          <w:i w:val="0"/>
          <w:caps w:val="0"/>
          <w:color w:val="1F2937"/>
          <w:sz w:val="23"/>
        </w:rPr>
        <w:t>This checkpoint closes the NDYRA Core repo-side build, finishes the last boundary and release-closeout work, and leaves only external credentialed live execution evidence before announcement.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68"/>
        <w:gridCol w:w="7056"/>
      </w:tblGrid>
      <w:tr>
        <w:tc>
          <w:tcPr>
            <w:tcW w:type="dxa" w:w="31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  <w:shd w:fill="EAF1FB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/>
                <w:i w:val="0"/>
                <w:caps w:val="0"/>
                <w:color w:val="10223B"/>
                <w:sz w:val="20"/>
              </w:rPr>
              <w:t>Build</w:t>
            </w:r>
          </w:p>
        </w:tc>
        <w:tc>
          <w:tcPr>
            <w:tcW w:type="dxa" w:w="7056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 w:val="0"/>
                <w:i w:val="0"/>
                <w:caps w:val="0"/>
                <w:color w:val="1F2937"/>
                <w:sz w:val="20"/>
              </w:rPr>
              <w:t>CP116 | 2026-03-11_116 | Kit v10.3</w:t>
            </w:r>
          </w:p>
        </w:tc>
      </w:tr>
      <w:tr>
        <w:tc>
          <w:tcPr>
            <w:tcW w:type="dxa" w:w="31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  <w:shd w:fill="EAF1FB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/>
                <w:i w:val="0"/>
                <w:caps w:val="0"/>
                <w:color w:val="10223B"/>
                <w:sz w:val="20"/>
              </w:rPr>
              <w:t>Status</w:t>
            </w:r>
          </w:p>
        </w:tc>
        <w:tc>
          <w:tcPr>
            <w:tcW w:type="dxa" w:w="7056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 w:val="0"/>
                <w:i w:val="0"/>
                <w:caps w:val="0"/>
                <w:color w:val="1F2937"/>
                <w:sz w:val="20"/>
              </w:rPr>
              <w:t>100% code-side complete | ~99.9% overall including external credentialed live verification</w:t>
            </w:r>
          </w:p>
        </w:tc>
      </w:tr>
      <w:tr>
        <w:tc>
          <w:tcPr>
            <w:tcW w:type="dxa" w:w="31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  <w:shd w:fill="EAF1FB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/>
                <w:i w:val="0"/>
                <w:caps w:val="0"/>
                <w:color w:val="10223B"/>
                <w:sz w:val="20"/>
              </w:rPr>
              <w:t>Intent</w:t>
            </w:r>
          </w:p>
        </w:tc>
        <w:tc>
          <w:tcPr>
            <w:tcW w:type="dxa" w:w="7056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 w:val="0"/>
                <w:i w:val="0"/>
                <w:caps w:val="0"/>
                <w:color w:val="1F2937"/>
                <w:sz w:val="20"/>
              </w:rPr>
              <w:t>Final NDYRA Core closeout without pretending live deployment already happened</w:t>
            </w:r>
          </w:p>
        </w:tc>
      </w:tr>
      <w:tr>
        <w:tc>
          <w:tcPr>
            <w:tcW w:type="dxa" w:w="31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  <w:shd w:fill="EAF1FB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/>
                <w:i w:val="0"/>
                <w:caps w:val="0"/>
                <w:color w:val="10223B"/>
                <w:sz w:val="20"/>
              </w:rPr>
              <w:t>Boundaries</w:t>
            </w:r>
          </w:p>
        </w:tc>
        <w:tc>
          <w:tcPr>
            <w:tcW w:type="dxa" w:w="7056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 w:val="0"/>
                <w:i w:val="0"/>
                <w:caps w:val="0"/>
                <w:color w:val="1F2937"/>
                <w:sz w:val="20"/>
              </w:rPr>
              <w:t>No BizGym runtime duplication | No Timer runtime duplication | Check-In still paused</w:t>
            </w:r>
          </w:p>
        </w:tc>
      </w:tr>
    </w:tbl>
    <w:p>
      <w:pPr>
        <w:spacing w:before="320" w:after="0" w:line="276" w:lineRule="auto"/>
      </w:pPr>
      <w:r>
        <w:rPr>
          <w:rFonts w:ascii="Aptos" w:hAnsi="Aptos"/>
          <w:b w:val="0"/>
          <w:i/>
          <w:caps w:val="0"/>
          <w:color w:val="6B7280"/>
          <w:sz w:val="19"/>
        </w:rPr>
        <w:t>External-only remaining: apply the CP115 migration on the real database if needed, set real Netlify/Supabase/Stripe values, run the live verification matrix on the deployed target, and complete the release closeout packet with real evidence.</w:t>
      </w:r>
    </w:p>
    <w:p>
      <w:r>
        <w:br w:type="page"/>
      </w:r>
    </w:p>
    <w:p>
      <w:pPr>
        <w:pStyle w:val="NDYRAHeading1"/>
        <w:spacing w:before="0" w:after="120" w:line="276" w:lineRule="auto"/>
      </w:pPr>
      <w:r>
        <w:rPr>
          <w:rFonts w:ascii="Aptos" w:hAnsi="Aptos"/>
          <w:b/>
          <w:i w:val="0"/>
          <w:caps w:val="0"/>
          <w:color w:val="10223B"/>
          <w:sz w:val="30"/>
        </w:rPr>
        <w:t>Checkpoint intent</w:t>
      </w:r>
    </w:p>
    <w:p>
      <w:pPr>
        <w:spacing w:before="0" w:after="160" w:line="288" w:lineRule="auto"/>
      </w:pPr>
      <w:r>
        <w:rPr>
          <w:rFonts w:ascii="Aptos" w:hAnsi="Aptos"/>
          <w:b w:val="0"/>
          <w:i w:val="0"/>
          <w:caps w:val="0"/>
          <w:color w:val="1F2937"/>
          <w:sz w:val="21"/>
        </w:rPr>
        <w:t>CP116 starts from a re-QAed CP115 tree and finishes the last repo-level work still worth doing inside NDYRA Core: honest release-closeout scaffolding, explicit business boundary shells, and final admin execution wiring that aligns to the blueprint, amendments, and token marketplace addendum.</w:t>
      </w:r>
    </w:p>
    <w:p>
      <w:pPr>
        <w:pStyle w:val="NDYRAHeading1"/>
        <w:spacing w:before="160" w:after="120" w:line="276" w:lineRule="auto"/>
      </w:pPr>
      <w:r>
        <w:rPr>
          <w:rFonts w:ascii="Aptos" w:hAnsi="Aptos"/>
          <w:b/>
          <w:i w:val="0"/>
          <w:caps w:val="0"/>
          <w:color w:val="10223B"/>
          <w:sz w:val="30"/>
        </w:rPr>
        <w:t>What shipped in CP116</w:t>
      </w:r>
    </w:p>
    <w:p>
      <w:pPr>
        <w:pStyle w:val="ListBullet"/>
        <w:spacing w:before="0" w:after="40" w:line="276" w:lineRule="auto"/>
      </w:pPr>
      <w:r>
        <w:rPr>
          <w:rFonts w:ascii="Aptos" w:hAnsi="Aptos"/>
          <w:b w:val="0"/>
          <w:i w:val="0"/>
          <w:caps w:val="0"/>
          <w:color w:val="1F2937"/>
          <w:sz w:val="20"/>
        </w:rPr>
        <w:t>Release closeout packet JSON plus a fillable ops copy for real deployment evidence.</w:t>
      </w:r>
    </w:p>
    <w:p>
      <w:pPr>
        <w:pStyle w:val="ListBullet"/>
        <w:spacing w:before="0" w:after="40" w:line="276" w:lineRule="auto"/>
      </w:pPr>
      <w:r>
        <w:rPr>
          <w:rFonts w:ascii="Aptos" w:hAnsi="Aptos"/>
          <w:b w:val="0"/>
          <w:i w:val="0"/>
          <w:caps w:val="0"/>
          <w:color w:val="1F2937"/>
          <w:sz w:val="20"/>
        </w:rPr>
        <w:t>Admin execute upgrade so operators can see deployment confidence, runtime truth, live verification, and closeout evidence in one place.</w:t>
      </w:r>
    </w:p>
    <w:p>
      <w:pPr>
        <w:pStyle w:val="ListBullet"/>
        <w:spacing w:before="0" w:after="40" w:line="276" w:lineRule="auto"/>
      </w:pPr>
      <w:r>
        <w:rPr>
          <w:rFonts w:ascii="Aptos" w:hAnsi="Aptos"/>
          <w:b w:val="0"/>
          <w:i w:val="0"/>
          <w:caps w:val="0"/>
          <w:color w:val="1F2937"/>
          <w:sz w:val="20"/>
        </w:rPr>
        <w:t>One shared boundary data file and renderer for the remaining /biz/* routes.</w:t>
      </w:r>
    </w:p>
    <w:p>
      <w:pPr>
        <w:pStyle w:val="ListBullet"/>
        <w:spacing w:before="0" w:after="40" w:line="276" w:lineRule="auto"/>
      </w:pPr>
      <w:r>
        <w:rPr>
          <w:rFonts w:ascii="Aptos" w:hAnsi="Aptos"/>
          <w:b w:val="0"/>
          <w:i w:val="0"/>
          <w:caps w:val="0"/>
          <w:color w:val="1F2937"/>
          <w:sz w:val="20"/>
        </w:rPr>
        <w:t>Rebuilt business boundary pages for check-in, schedule, settings, migration, gym timer, shop, timer packs, and moves.</w:t>
      </w:r>
    </w:p>
    <w:p>
      <w:pPr>
        <w:pStyle w:val="ListBullet"/>
        <w:spacing w:before="0" w:after="40" w:line="276" w:lineRule="auto"/>
      </w:pPr>
      <w:r>
        <w:rPr>
          <w:rFonts w:ascii="Aptos" w:hAnsi="Aptos"/>
          <w:b w:val="0"/>
          <w:i w:val="0"/>
          <w:caps w:val="0"/>
          <w:color w:val="1F2937"/>
          <w:sz w:val="20"/>
        </w:rPr>
        <w:t>Two new regression gates: module_boundary_surface_check and release_closeout_check.</w:t>
      </w:r>
    </w:p>
    <w:p>
      <w:pPr>
        <w:pStyle w:val="ListBullet"/>
        <w:spacing w:before="0" w:after="40" w:line="276" w:lineRule="auto"/>
      </w:pPr>
      <w:r>
        <w:rPr>
          <w:rFonts w:ascii="Aptos" w:hAnsi="Aptos"/>
          <w:b w:val="0"/>
          <w:i w:val="0"/>
          <w:caps w:val="0"/>
          <w:color w:val="1F2937"/>
          <w:sz w:val="20"/>
        </w:rPr>
        <w:t>CP116 stamp refresh across site and runtime-facing surfaces.</w:t>
      </w:r>
    </w:p>
    <w:p>
      <w:pPr>
        <w:pStyle w:val="NDYRAHeading1"/>
        <w:spacing w:before="200" w:after="120" w:line="276" w:lineRule="auto"/>
      </w:pPr>
      <w:r>
        <w:rPr>
          <w:rFonts w:ascii="Aptos" w:hAnsi="Aptos"/>
          <w:b/>
          <w:i w:val="0"/>
          <w:caps w:val="0"/>
          <w:color w:val="10223B"/>
          <w:sz w:val="30"/>
        </w:rPr>
        <w:t>Boundary truth</w:t>
      </w:r>
    </w:p>
    <w:p>
      <w:pPr>
        <w:spacing w:before="0" w:after="160" w:line="288" w:lineRule="auto"/>
      </w:pPr>
      <w:r>
        <w:rPr>
          <w:rFonts w:ascii="Aptos" w:hAnsi="Aptos"/>
          <w:b w:val="0"/>
          <w:i w:val="0"/>
          <w:caps w:val="0"/>
          <w:color w:val="1F2937"/>
          <w:sz w:val="21"/>
        </w:rPr>
        <w:t>The repo now stops in the right places and explains why. NDYRA Core keeps acquisition, public/member surfaces, billing truth, entitlements, and admin wiring. BizGym still owns gym-ops runtime. The Timer runtime remains separate. Check-In stays paused here and is represented only as a preserved boundary shell.</w:t>
      </w:r>
    </w:p>
    <w:p>
      <w:pPr>
        <w:pStyle w:val="NDYRAHeading1"/>
        <w:spacing w:before="200" w:after="120" w:line="276" w:lineRule="auto"/>
      </w:pPr>
      <w:r>
        <w:rPr>
          <w:rFonts w:ascii="Aptos" w:hAnsi="Aptos"/>
          <w:b/>
          <w:i w:val="0"/>
          <w:caps w:val="0"/>
          <w:color w:val="10223B"/>
          <w:sz w:val="30"/>
        </w:rPr>
        <w:t>Scope completion snapshot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5616"/>
      </w:tblGrid>
      <w:tr>
        <w:tc>
          <w:tcPr>
            <w:tcW w:type="dxa" w:w="4968"/>
            <w:shd w:fill="1F3B64"/>
            <w:vAlign w:val="center"/>
            <w:tcBorders>
              <w:start w:val="single" w:sz="6" w:color="1F3B64"/>
              <w:top w:val="single" w:sz="6" w:color="1F3B64"/>
              <w:end w:val="single" w:sz="6" w:color="1F3B64"/>
              <w:bottom w:val="single" w:sz="6" w:color="1F3B64"/>
            </w:tcBorders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/>
                <w:i w:val="0"/>
                <w:caps w:val="0"/>
                <w:color w:val="FFFFFF"/>
                <w:sz w:val="20"/>
              </w:rPr>
              <w:t>Area</w:t>
            </w:r>
          </w:p>
        </w:tc>
        <w:tc>
          <w:tcPr>
            <w:tcW w:type="dxa" w:w="4968"/>
            <w:shd w:fill="1F3B64"/>
            <w:vAlign w:val="center"/>
            <w:tcBorders>
              <w:start w:val="single" w:sz="6" w:color="1F3B64"/>
              <w:top w:val="single" w:sz="6" w:color="1F3B64"/>
              <w:end w:val="single" w:sz="6" w:color="1F3B64"/>
              <w:bottom w:val="single" w:sz="6" w:color="1F3B64"/>
            </w:tcBorders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/>
                <w:i w:val="0"/>
                <w:caps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  <w:shd w:fill="F7FAFC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 w:val="0"/>
                <w:i w:val="0"/>
                <w:caps w:val="0"/>
                <w:color w:val="1F2937"/>
                <w:sz w:val="19"/>
              </w:rPr>
              <w:t>Core member app surfaces</w:t>
            </w:r>
          </w:p>
        </w:tc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  <w:shd w:fill="F7FAFC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 w:val="0"/>
                <w:i w:val="0"/>
                <w:caps w:val="0"/>
                <w:color w:val="1F2937"/>
                <w:sz w:val="19"/>
              </w:rPr>
              <w:t>100% within NDYRA Core scope</w:t>
            </w:r>
          </w:p>
        </w:tc>
      </w:tr>
      <w:tr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 w:val="0"/>
                <w:i w:val="0"/>
                <w:caps w:val="0"/>
                <w:color w:val="1F2937"/>
                <w:sz w:val="19"/>
              </w:rPr>
              <w:t>Public acquisition + gym discovery</w:t>
            </w:r>
          </w:p>
        </w:tc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 w:val="0"/>
                <w:i w:val="0"/>
                <w:caps w:val="0"/>
                <w:color w:val="1F2937"/>
                <w:sz w:val="19"/>
              </w:rPr>
              <w:t>100% within NDYRA Core scope</w:t>
            </w:r>
          </w:p>
        </w:tc>
      </w:tr>
      <w:tr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  <w:shd w:fill="F7FAFC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 w:val="0"/>
                <w:i w:val="0"/>
                <w:caps w:val="0"/>
                <w:color w:val="1F2937"/>
                <w:sz w:val="19"/>
              </w:rPr>
              <w:t>Messaging / inbox / notifications</w:t>
            </w:r>
          </w:p>
        </w:tc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  <w:shd w:fill="F7FAFC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 w:val="0"/>
                <w:i w:val="0"/>
                <w:caps w:val="0"/>
                <w:color w:val="1F2937"/>
                <w:sz w:val="19"/>
              </w:rPr>
              <w:t>100% within NDYRA Core scope</w:t>
            </w:r>
          </w:p>
        </w:tc>
      </w:tr>
      <w:tr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 w:val="0"/>
                <w:i w:val="0"/>
                <w:caps w:val="0"/>
                <w:color w:val="1F2937"/>
                <w:sz w:val="19"/>
              </w:rPr>
              <w:t>Marketplace / wallet / purchases / timer library</w:t>
            </w:r>
          </w:p>
        </w:tc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 w:val="0"/>
                <w:i w:val="0"/>
                <w:caps w:val="0"/>
                <w:color w:val="1F2937"/>
                <w:sz w:val="19"/>
              </w:rPr>
              <w:t>100% within NDYRA Core scope</w:t>
            </w:r>
          </w:p>
        </w:tc>
      </w:tr>
      <w:tr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  <w:shd w:fill="F7FAFC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 w:val="0"/>
                <w:i w:val="0"/>
                <w:caps w:val="0"/>
                <w:color w:val="1F2937"/>
                <w:sz w:val="19"/>
              </w:rPr>
              <w:t>Aftermath / events / challenges</w:t>
            </w:r>
          </w:p>
        </w:tc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  <w:shd w:fill="F7FAFC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 w:val="0"/>
                <w:i w:val="0"/>
                <w:caps w:val="0"/>
                <w:color w:val="1F2937"/>
                <w:sz w:val="19"/>
              </w:rPr>
              <w:t>100% within NDYRA Core scope</w:t>
            </w:r>
          </w:p>
        </w:tc>
      </w:tr>
      <w:tr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 w:val="0"/>
                <w:i w:val="0"/>
                <w:caps w:val="0"/>
                <w:color w:val="1F2937"/>
                <w:sz w:val="19"/>
              </w:rPr>
              <w:t>Live wiring / admin truth / execution</w:t>
            </w:r>
          </w:p>
        </w:tc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 w:val="0"/>
                <w:i w:val="0"/>
                <w:caps w:val="0"/>
                <w:color w:val="1F2937"/>
                <w:sz w:val="19"/>
              </w:rPr>
              <w:t>100% code-side complete</w:t>
            </w:r>
          </w:p>
        </w:tc>
      </w:tr>
    </w:tbl>
    <w:p>
      <w:r>
        <w:br w:type="page"/>
      </w:r>
    </w:p>
    <w:p>
      <w:pPr>
        <w:pStyle w:val="NDYRAHeading1"/>
        <w:spacing w:before="0" w:after="120" w:line="276" w:lineRule="auto"/>
      </w:pPr>
      <w:r>
        <w:rPr>
          <w:rFonts w:ascii="Aptos" w:hAnsi="Aptos"/>
          <w:b/>
          <w:i w:val="0"/>
          <w:caps w:val="0"/>
          <w:color w:val="10223B"/>
          <w:sz w:val="30"/>
        </w:rPr>
        <w:t>QA results</w:t>
      </w:r>
    </w:p>
    <w:p>
      <w:pPr>
        <w:spacing w:before="0" w:after="160" w:line="276" w:lineRule="auto"/>
      </w:pPr>
      <w:r>
        <w:rPr>
          <w:rFonts w:ascii="Aptos" w:hAnsi="Aptos"/>
          <w:b w:val="0"/>
          <w:i w:val="0"/>
          <w:caps w:val="0"/>
          <w:color w:val="1F2937"/>
          <w:sz w:val="21"/>
        </w:rPr>
        <w:t>CP115 was re-QAed first from the actual extracted repo tree. After the CP116 changes landed, the full gate suite was rerun on the stamped CP116 tree and passed clean.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336"/>
        <w:gridCol w:w="2592"/>
      </w:tblGrid>
      <w:tr>
        <w:tc>
          <w:tcPr>
            <w:tcW w:type="dxa" w:w="4968"/>
            <w:shd w:fill="1F3B64"/>
            <w:vAlign w:val="center"/>
            <w:tcBorders>
              <w:start w:val="single" w:sz="6" w:color="1F3B64"/>
              <w:top w:val="single" w:sz="6" w:color="1F3B64"/>
              <w:end w:val="single" w:sz="6" w:color="1F3B64"/>
              <w:bottom w:val="single" w:sz="6" w:color="1F3B64"/>
            </w:tcBorders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/>
                <w:i w:val="0"/>
                <w:caps w:val="0"/>
                <w:color w:val="FFFFFF"/>
                <w:sz w:val="20"/>
              </w:rPr>
              <w:t>Gate</w:t>
            </w:r>
          </w:p>
        </w:tc>
        <w:tc>
          <w:tcPr>
            <w:tcW w:type="dxa" w:w="4968"/>
            <w:shd w:fill="1F3B64"/>
            <w:vAlign w:val="center"/>
            <w:tcBorders>
              <w:start w:val="single" w:sz="6" w:color="1F3B64"/>
              <w:top w:val="single" w:sz="6" w:color="1F3B64"/>
              <w:end w:val="single" w:sz="6" w:color="1F3B64"/>
              <w:bottom w:val="single" w:sz="6" w:color="1F3B64"/>
            </w:tcBorders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/>
                <w:i w:val="0"/>
                <w:caps w:val="0"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  <w:shd w:fill="F7FAFC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 w:val="0"/>
                <w:i w:val="0"/>
                <w:caps w:val="0"/>
                <w:color w:val="1F2937"/>
                <w:sz w:val="19"/>
              </w:rPr>
              <w:t>build_stamp</w:t>
            </w:r>
          </w:p>
        </w:tc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  <w:shd w:fill="F7FAFC"/>
          </w:tcPr>
          <w:p>
            <w:pPr>
              <w:spacing w:before="40" w:after="40" w:line="276" w:lineRule="auto"/>
              <w:jc w:val="center"/>
            </w:pPr>
            <w:r>
              <w:rPr>
                <w:rFonts w:ascii="Aptos" w:hAnsi="Aptos"/>
                <w:b/>
                <w:i w:val="0"/>
                <w:caps w:val="0"/>
                <w:color w:val="1B6E3D"/>
                <w:sz w:val="19"/>
              </w:rPr>
              <w:t>PASS</w:t>
            </w:r>
          </w:p>
        </w:tc>
      </w:tr>
      <w:tr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 w:val="0"/>
                <w:i w:val="0"/>
                <w:caps w:val="0"/>
                <w:color w:val="1F2937"/>
                <w:sz w:val="19"/>
              </w:rPr>
              <w:t>qa_smoke</w:t>
            </w:r>
          </w:p>
        </w:tc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ptos" w:hAnsi="Aptos"/>
                <w:b/>
                <w:i w:val="0"/>
                <w:caps w:val="0"/>
                <w:color w:val="1B6E3D"/>
                <w:sz w:val="19"/>
              </w:rPr>
              <w:t>PASS</w:t>
            </w:r>
          </w:p>
        </w:tc>
      </w:tr>
      <w:tr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  <w:shd w:fill="F7FAFC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 w:val="0"/>
                <w:i w:val="0"/>
                <w:caps w:val="0"/>
                <w:color w:val="1F2937"/>
                <w:sz w:val="19"/>
              </w:rPr>
              <w:t>qa_super</w:t>
            </w:r>
          </w:p>
        </w:tc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  <w:shd w:fill="F7FAFC"/>
          </w:tcPr>
          <w:p>
            <w:pPr>
              <w:spacing w:before="40" w:after="40" w:line="276" w:lineRule="auto"/>
              <w:jc w:val="center"/>
            </w:pPr>
            <w:r>
              <w:rPr>
                <w:rFonts w:ascii="Aptos" w:hAnsi="Aptos"/>
                <w:b/>
                <w:i w:val="0"/>
                <w:caps w:val="0"/>
                <w:color w:val="1B6E3D"/>
                <w:sz w:val="19"/>
              </w:rPr>
              <w:t>PASS</w:t>
            </w:r>
          </w:p>
        </w:tc>
      </w:tr>
      <w:tr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 w:val="0"/>
                <w:i w:val="0"/>
                <w:caps w:val="0"/>
                <w:color w:val="1F2937"/>
                <w:sz w:val="19"/>
              </w:rPr>
              <w:t>brand_gate_check</w:t>
            </w:r>
          </w:p>
        </w:tc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ptos" w:hAnsi="Aptos"/>
                <w:b/>
                <w:i w:val="0"/>
                <w:caps w:val="0"/>
                <w:color w:val="1B6E3D"/>
                <w:sz w:val="19"/>
              </w:rPr>
              <w:t>PASS</w:t>
            </w:r>
          </w:p>
        </w:tc>
      </w:tr>
      <w:tr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  <w:shd w:fill="F7FAFC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 w:val="0"/>
                <w:i w:val="0"/>
                <w:caps w:val="0"/>
                <w:color w:val="1F2937"/>
                <w:sz w:val="19"/>
              </w:rPr>
              <w:t>ip_gate_check</w:t>
            </w:r>
          </w:p>
        </w:tc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  <w:shd w:fill="F7FAFC"/>
          </w:tcPr>
          <w:p>
            <w:pPr>
              <w:spacing w:before="40" w:after="40" w:line="276" w:lineRule="auto"/>
              <w:jc w:val="center"/>
            </w:pPr>
            <w:r>
              <w:rPr>
                <w:rFonts w:ascii="Aptos" w:hAnsi="Aptos"/>
                <w:b/>
                <w:i w:val="0"/>
                <w:caps w:val="0"/>
                <w:color w:val="1B6E3D"/>
                <w:sz w:val="19"/>
              </w:rPr>
              <w:t>PASS</w:t>
            </w:r>
          </w:p>
        </w:tc>
      </w:tr>
      <w:tr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 w:val="0"/>
                <w:i w:val="0"/>
                <w:caps w:val="0"/>
                <w:color w:val="1F2937"/>
                <w:sz w:val="19"/>
              </w:rPr>
              <w:t>wiring_consistency_check</w:t>
            </w:r>
          </w:p>
        </w:tc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ptos" w:hAnsi="Aptos"/>
                <w:b/>
                <w:i w:val="0"/>
                <w:caps w:val="0"/>
                <w:color w:val="1B6E3D"/>
                <w:sz w:val="19"/>
              </w:rPr>
              <w:t>PASS</w:t>
            </w:r>
          </w:p>
        </w:tc>
      </w:tr>
      <w:tr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  <w:shd w:fill="F7FAFC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 w:val="0"/>
                <w:i w:val="0"/>
                <w:caps w:val="0"/>
                <w:color w:val="1F2937"/>
                <w:sz w:val="19"/>
              </w:rPr>
              <w:t>qa_accessibility</w:t>
            </w:r>
          </w:p>
        </w:tc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  <w:shd w:fill="F7FAFC"/>
          </w:tcPr>
          <w:p>
            <w:pPr>
              <w:spacing w:before="40" w:after="40" w:line="276" w:lineRule="auto"/>
              <w:jc w:val="center"/>
            </w:pPr>
            <w:r>
              <w:rPr>
                <w:rFonts w:ascii="Aptos" w:hAnsi="Aptos"/>
                <w:b/>
                <w:i w:val="0"/>
                <w:caps w:val="0"/>
                <w:color w:val="1B6E3D"/>
                <w:sz w:val="19"/>
              </w:rPr>
              <w:t>PASS</w:t>
            </w:r>
          </w:p>
        </w:tc>
      </w:tr>
      <w:tr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 w:val="0"/>
                <w:i w:val="0"/>
                <w:caps w:val="0"/>
                <w:color w:val="1F2937"/>
                <w:sz w:val="19"/>
              </w:rPr>
              <w:t>deployment_confidence_check</w:t>
            </w:r>
          </w:p>
        </w:tc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ptos" w:hAnsi="Aptos"/>
                <w:b/>
                <w:i w:val="0"/>
                <w:caps w:val="0"/>
                <w:color w:val="1B6E3D"/>
                <w:sz w:val="19"/>
              </w:rPr>
              <w:t>PASS</w:t>
            </w:r>
          </w:p>
        </w:tc>
      </w:tr>
      <w:tr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  <w:shd w:fill="F7FAFC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 w:val="0"/>
                <w:i w:val="0"/>
                <w:caps w:val="0"/>
                <w:color w:val="1F2937"/>
                <w:sz w:val="19"/>
              </w:rPr>
              <w:t>live_verification_check</w:t>
            </w:r>
          </w:p>
        </w:tc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  <w:shd w:fill="F7FAFC"/>
          </w:tcPr>
          <w:p>
            <w:pPr>
              <w:spacing w:before="40" w:after="40" w:line="276" w:lineRule="auto"/>
              <w:jc w:val="center"/>
            </w:pPr>
            <w:r>
              <w:rPr>
                <w:rFonts w:ascii="Aptos" w:hAnsi="Aptos"/>
                <w:b/>
                <w:i w:val="0"/>
                <w:caps w:val="0"/>
                <w:color w:val="1B6E3D"/>
                <w:sz w:val="19"/>
              </w:rPr>
              <w:t>PASS</w:t>
            </w:r>
          </w:p>
        </w:tc>
      </w:tr>
      <w:tr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 w:val="0"/>
                <w:i w:val="0"/>
                <w:caps w:val="0"/>
                <w:color w:val="1F2937"/>
                <w:sz w:val="19"/>
              </w:rPr>
              <w:t>public_surface_check</w:t>
            </w:r>
          </w:p>
        </w:tc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ptos" w:hAnsi="Aptos"/>
                <w:b/>
                <w:i w:val="0"/>
                <w:caps w:val="0"/>
                <w:color w:val="1B6E3D"/>
                <w:sz w:val="19"/>
              </w:rPr>
              <w:t>PASS</w:t>
            </w:r>
          </w:p>
        </w:tc>
      </w:tr>
      <w:tr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  <w:shd w:fill="F7FAFC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 w:val="0"/>
                <w:i w:val="0"/>
                <w:caps w:val="0"/>
                <w:color w:val="1F2937"/>
                <w:sz w:val="19"/>
              </w:rPr>
              <w:t>module_boundary_surface_check</w:t>
            </w:r>
          </w:p>
        </w:tc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  <w:shd w:fill="F7FAFC"/>
          </w:tcPr>
          <w:p>
            <w:pPr>
              <w:spacing w:before="40" w:after="40" w:line="276" w:lineRule="auto"/>
              <w:jc w:val="center"/>
            </w:pPr>
            <w:r>
              <w:rPr>
                <w:rFonts w:ascii="Aptos" w:hAnsi="Aptos"/>
                <w:b/>
                <w:i w:val="0"/>
                <w:caps w:val="0"/>
                <w:color w:val="1B6E3D"/>
                <w:sz w:val="19"/>
              </w:rPr>
              <w:t>PASS</w:t>
            </w:r>
          </w:p>
        </w:tc>
      </w:tr>
      <w:tr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 w:val="0"/>
                <w:i w:val="0"/>
                <w:caps w:val="0"/>
                <w:color w:val="1F2937"/>
                <w:sz w:val="19"/>
              </w:rPr>
              <w:t>release_closeout_check</w:t>
            </w:r>
          </w:p>
        </w:tc>
        <w:tc>
          <w:tcPr>
            <w:tcW w:type="dxa" w:w="4968"/>
            <w:vAlign w:val="center"/>
            <w:tcBorders>
              <w:start w:val="single" w:sz="4" w:color="D7DEE8"/>
              <w:top w:val="single" w:sz="4" w:color="D7DEE8"/>
              <w:end w:val="single" w:sz="4" w:color="D7DEE8"/>
              <w:bottom w:val="single" w:sz="4" w:color="D7DEE8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Aptos" w:hAnsi="Aptos"/>
                <w:b/>
                <w:i w:val="0"/>
                <w:caps w:val="0"/>
                <w:color w:val="1B6E3D"/>
                <w:sz w:val="19"/>
              </w:rPr>
              <w:t>PASS</w:t>
            </w:r>
          </w:p>
        </w:tc>
      </w:tr>
    </w:tbl>
    <w:p>
      <w:pPr>
        <w:pStyle w:val="NDYRAHeading1"/>
        <w:spacing w:before="200" w:after="120" w:line="276" w:lineRule="auto"/>
      </w:pPr>
      <w:r>
        <w:rPr>
          <w:rFonts w:ascii="Aptos" w:hAnsi="Aptos"/>
          <w:b/>
          <w:i w:val="0"/>
          <w:caps w:val="0"/>
          <w:color w:val="10223B"/>
          <w:sz w:val="30"/>
        </w:rPr>
        <w:t>Remaining external-only closeout</w:t>
      </w:r>
    </w:p>
    <w:p>
      <w:pPr>
        <w:pStyle w:val="ListNumber"/>
        <w:spacing w:before="0" w:after="40" w:line="276" w:lineRule="auto"/>
      </w:pPr>
      <w:r>
        <w:rPr>
          <w:rFonts w:ascii="Aptos" w:hAnsi="Aptos"/>
          <w:b w:val="0"/>
          <w:i w:val="0"/>
          <w:caps w:val="0"/>
          <w:color w:val="1F2937"/>
          <w:sz w:val="20"/>
        </w:rPr>
        <w:t>Apply the CP115 entitlement lifecycle migration on the real database if it has not already been applied.</w:t>
      </w:r>
    </w:p>
    <w:p>
      <w:pPr>
        <w:pStyle w:val="ListNumber"/>
        <w:spacing w:before="0" w:after="40" w:line="276" w:lineRule="auto"/>
      </w:pPr>
      <w:r>
        <w:rPr>
          <w:rFonts w:ascii="Aptos" w:hAnsi="Aptos"/>
          <w:b w:val="0"/>
          <w:i w:val="0"/>
          <w:caps w:val="0"/>
          <w:color w:val="1F2937"/>
          <w:sz w:val="20"/>
        </w:rPr>
        <w:t>Set real Netlify, Supabase, and Stripe values on the deployed target.</w:t>
      </w:r>
    </w:p>
    <w:p>
      <w:pPr>
        <w:pStyle w:val="ListNumber"/>
        <w:spacing w:before="0" w:after="40" w:line="276" w:lineRule="auto"/>
      </w:pPr>
      <w:r>
        <w:rPr>
          <w:rFonts w:ascii="Aptos" w:hAnsi="Aptos"/>
          <w:b w:val="0"/>
          <w:i w:val="0"/>
          <w:caps w:val="0"/>
          <w:color w:val="1F2937"/>
          <w:sz w:val="20"/>
        </w:rPr>
        <w:t>Run the live verification matrix for checkout, billing portal, token top-up, timer entitlement access, and sibling plan-swap cleanup.</w:t>
      </w:r>
    </w:p>
    <w:p>
      <w:pPr>
        <w:pStyle w:val="ListNumber"/>
        <w:spacing w:before="0" w:after="40" w:line="276" w:lineRule="auto"/>
      </w:pPr>
      <w:r>
        <w:rPr>
          <w:rFonts w:ascii="Aptos" w:hAnsi="Aptos"/>
          <w:b w:val="0"/>
          <w:i w:val="0"/>
          <w:caps w:val="0"/>
          <w:color w:val="1F2937"/>
          <w:sz w:val="20"/>
        </w:rPr>
        <w:t>Capture browser/device and performance evidence against the live target.</w:t>
      </w:r>
    </w:p>
    <w:p>
      <w:pPr>
        <w:pStyle w:val="ListNumber"/>
        <w:spacing w:before="0" w:after="40" w:line="276" w:lineRule="auto"/>
      </w:pPr>
      <w:r>
        <w:rPr>
          <w:rFonts w:ascii="Aptos" w:hAnsi="Aptos"/>
          <w:b w:val="0"/>
          <w:i w:val="0"/>
          <w:caps w:val="0"/>
          <w:color w:val="1F2937"/>
          <w:sz w:val="20"/>
        </w:rPr>
        <w:t>Complete the release closeout packet and only then make the final announce-ready decision.</w:t>
      </w:r>
    </w:p>
    <w:p>
      <w:pPr>
        <w:spacing w:before="200" w:after="0" w:line="288" w:lineRule="auto"/>
      </w:pPr>
      <w:r>
        <w:rPr>
          <w:rFonts w:ascii="Aptos" w:hAnsi="Aptos"/>
          <w:b w:val="0"/>
          <w:i/>
          <w:caps w:val="0"/>
          <w:color w:val="6B7280"/>
          <w:sz w:val="19"/>
        </w:rPr>
        <w:t>No generated graphics were added in CP116.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Aptos" w:hAnsi="Aptos"/>
        <w:b w:val="0"/>
        <w:i w:val="0"/>
        <w:caps w:val="0"/>
        <w:color w:val="6B7280"/>
        <w:sz w:val="17"/>
      </w:rPr>
      <w:t>Aelric Architect_v3 | Build 2026-03-11_116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Aptos" w:hAnsi="Aptos"/>
        <w:b w:val="0"/>
        <w:i w:val="0"/>
        <w:caps w:val="0"/>
        <w:color w:val="6B7280"/>
        <w:sz w:val="17"/>
      </w:rPr>
      <w:t>NDYRA Core | CP116 | Buildbook MemoryPack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DYRATitle">
    <w:name w:val="NDYRA Title"/>
    <w:basedOn w:val="Title"/>
    <w:rPr>
      <w:rFonts w:ascii="Aptos" w:hAnsi="Aptos"/>
      <w:b/>
      <w:color w:val="10223B"/>
      <w:sz w:val="48"/>
    </w:rPr>
  </w:style>
  <w:style w:type="paragraph" w:customStyle="1" w:styleId="NDYRAHeading1">
    <w:name w:val="NDYRA Heading 1"/>
    <w:basedOn w:val="Heading1"/>
    <w:rPr>
      <w:rFonts w:ascii="Aptos" w:hAnsi="Aptos"/>
      <w:b/>
      <w:color w:val="10223B"/>
      <w:sz w:val="30"/>
    </w:rPr>
  </w:style>
  <w:style w:type="paragraph" w:customStyle="1" w:styleId="NDYRAHeading2">
    <w:name w:val="NDYRA Heading 2"/>
    <w:basedOn w:val="Heading2"/>
    <w:rPr>
      <w:rFonts w:ascii="Aptos" w:hAnsi="Aptos"/>
      <w:b/>
      <w:color w:val="2B4A73"/>
      <w:sz w:val="23"/>
    </w:rPr>
  </w:style>
  <w:style w:type="paragraph" w:customStyle="1" w:styleId="NDYRASmallCaps">
    <w:name w:val="NDYRA Small Caps"/>
    <w:basedOn w:val="Normal"/>
    <w:rPr>
      <w:rFonts w:ascii="Aptos" w:hAnsi="Aptos"/>
      <w:color w:val="6B728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