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3BCB203" w:rsidR="000B4A94" w:rsidRDefault="000B4A94" w:rsidP="000B4A94">
      <w:pPr>
        <w:jc w:val="center"/>
        <w:rPr>
          <w:b/>
          <w:bCs/>
        </w:rPr>
      </w:pPr>
      <w:r>
        <w:rPr>
          <w:b/>
          <w:bCs/>
        </w:rPr>
        <w:t>November 2021</w:t>
      </w:r>
    </w:p>
    <w:p w14:paraId="4905C6AD" w14:textId="7DA3AD6A" w:rsidR="000B4A94" w:rsidRDefault="000B4A94" w:rsidP="000B4A94">
      <w:pPr>
        <w:jc w:val="center"/>
        <w:rPr>
          <w:b/>
          <w:bCs/>
        </w:rPr>
      </w:pPr>
    </w:p>
    <w:p w14:paraId="0B40C228" w14:textId="4E653BBE" w:rsidR="000B4A94" w:rsidRDefault="000B4A94" w:rsidP="000B4A94">
      <w:pPr>
        <w:jc w:val="center"/>
        <w:rPr>
          <w:b/>
          <w:bCs/>
        </w:rPr>
      </w:pPr>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49765B"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037F939" w:rsidR="00FC29B5" w:rsidRDefault="00FC29B5" w:rsidP="000B4A94">
            <w:pPr>
              <w:rPr>
                <w:b/>
                <w:bCs/>
              </w:rPr>
            </w:pPr>
            <w:proofErr w:type="spellStart"/>
            <w:r>
              <w:rPr>
                <w:b/>
                <w:bCs/>
              </w:rPr>
              <w:t>VDJbase</w:t>
            </w:r>
            <w:proofErr w:type="spellEnd"/>
            <w:r>
              <w:rPr>
                <w:b/>
                <w:bCs/>
              </w:rPr>
              <w:t xml:space="preserve"> </w:t>
            </w:r>
            <w:proofErr w:type="spellStart"/>
            <w:r>
              <w:rPr>
                <w:b/>
                <w:bCs/>
              </w:rPr>
              <w:t>nack</w:t>
            </w:r>
            <w:proofErr w:type="spellEnd"/>
            <w:r>
              <w:rPr>
                <w:b/>
                <w:bCs/>
              </w:rPr>
              <w:t xml:space="preserve">-end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49765B"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49765B"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84"/>
        <w:gridCol w:w="2115"/>
        <w:gridCol w:w="2950"/>
        <w:gridCol w:w="2767"/>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1C4A52FB" w:rsidR="00E70331" w:rsidRDefault="00E24D7B" w:rsidP="000B4A94">
            <w:pPr>
              <w:rPr>
                <w:b/>
                <w:bCs/>
              </w:rPr>
            </w:pPr>
            <w:proofErr w:type="spellStart"/>
            <w:r>
              <w:rPr>
                <w:b/>
                <w:bCs/>
              </w:rPr>
              <w:t>nginx</w:t>
            </w:r>
            <w:proofErr w:type="spellEnd"/>
            <w:r>
              <w:rPr>
                <w:b/>
                <w:bCs/>
              </w:rPr>
              <w:t xml:space="preserve"> and </w:t>
            </w:r>
            <w:r w:rsidR="00711C26">
              <w:rPr>
                <w:b/>
                <w:bCs/>
              </w:rPr>
              <w:t>Let’s Encrypt (</w:t>
            </w:r>
            <w:hyperlink r:id="rId8" w:history="1">
              <w:r w:rsidR="00711C26" w:rsidRPr="00711C26">
                <w:rPr>
                  <w:rStyle w:val="Hyperlink"/>
                  <w:b/>
                  <w:bCs/>
                </w:rPr>
                <w:t>ghcr.io/</w:t>
              </w:r>
              <w:proofErr w:type="spellStart"/>
              <w:r w:rsidR="00711C26" w:rsidRPr="00711C26">
                <w:rPr>
                  <w:rStyle w:val="Hyperlink"/>
                  <w:b/>
                  <w:bCs/>
                </w:rPr>
                <w:t>linuxserver</w:t>
              </w:r>
              <w:proofErr w:type="spellEnd"/>
              <w:r w:rsidR="00711C26" w:rsidRPr="00711C26">
                <w:rPr>
                  <w:rStyle w:val="Hyperlink"/>
                  <w:b/>
                  <w:bCs/>
                </w:rPr>
                <w:t>/swag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nginx</w:t>
            </w:r>
            <w:proofErr w:type="spellEnd"/>
            <w:r w:rsidRPr="00711C26">
              <w:rPr>
                <w:b/>
                <w:bCs/>
              </w:rPr>
              <w:t>:/config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w:t>
            </w:r>
            <w:proofErr w:type="spellStart"/>
            <w:r w:rsidRPr="00711C26">
              <w:rPr>
                <w:b/>
                <w:bCs/>
              </w:rPr>
              <w:t>nginx</w:t>
            </w:r>
            <w:proofErr w:type="spellEnd"/>
            <w:r w:rsidRPr="00711C26">
              <w:rPr>
                <w:b/>
                <w:bCs/>
              </w:rPr>
              <w:t>/www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49765B">
              <w:fldChar w:fldCharType="begin"/>
            </w:r>
            <w:r w:rsidR="0049765B">
              <w:instrText xml:space="preserve"> HYPERLINK "https://docs.linuxserver.io/images/docker-mariadb" </w:instrText>
            </w:r>
            <w:r w:rsidR="0049765B">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49765B">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184E5D17"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Click on ‘Marketplace’ under ‘Choose an image’ and select the Docker image</w:t>
      </w:r>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0GB/2TB</w:t>
      </w:r>
    </w:p>
    <w:p w14:paraId="4D83B802" w14:textId="50B9B7BF" w:rsidR="00D366F4" w:rsidRDefault="00D366F4" w:rsidP="00B77EC7">
      <w:pPr>
        <w:pStyle w:val="ListParagraph"/>
        <w:numPr>
          <w:ilvl w:val="0"/>
          <w:numId w:val="2"/>
        </w:numPr>
      </w:pPr>
      <w:r>
        <w:t>Enable backups for a further $4</w:t>
      </w:r>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default this is /root. We recommend using the default if at all possible, as this reduces the number of configuration changes needed, and makes it easier to update </w:t>
      </w:r>
      <w:r w:rsidR="00DC058C">
        <w:t>the installation using ‘git pull’. Likewise we recommend using a dedicated virtual server if at all possible. This will simplify configuration and minimise the possibility of clashes with other applications.</w:t>
      </w:r>
    </w:p>
    <w:p w14:paraId="0B897A50" w14:textId="700F470D" w:rsidR="00AC4540" w:rsidRDefault="00AC4540" w:rsidP="00D366F4">
      <w:r>
        <w:t>2.3 Setting up a mail account</w:t>
      </w:r>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lastRenderedPageBreak/>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connections, unless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remove</w:t>
      </w:r>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r w:rsidRPr="00567CD1">
        <w:rPr>
          <w:rFonts w:ascii="Courier New" w:hAnsi="Courier New" w:cs="Courier New"/>
        </w:rPr>
        <w:t>rc.d</w:t>
      </w:r>
      <w:proofErr w:type="spell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w:t>
      </w:r>
      <w:proofErr w:type="spellStart"/>
      <w:r w:rsidRPr="00BD52AA">
        <w:rPr>
          <w:rFonts w:ascii="Courier New" w:hAnsi="Courier New" w:cs="Courier New"/>
        </w:rPr>
        <w:t>nginx</w:t>
      </w:r>
      <w:proofErr w:type="spellEnd"/>
      <w:r w:rsidRPr="00BD52AA">
        <w:rPr>
          <w:rFonts w:ascii="Courier New" w:hAnsi="Courier New" w:cs="Courier New"/>
        </w:rPr>
        <w:t>/</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lastRenderedPageBreak/>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docker-compose up</w:t>
      </w:r>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-d</w:t>
      </w:r>
      <w:r w:rsidR="008E38A3">
        <w:t xml:space="preserve"> </w:t>
      </w:r>
    </w:p>
    <w:p w14:paraId="6206D87D" w14:textId="14396512" w:rsidR="008E38A3" w:rsidRDefault="008E38A3" w:rsidP="008E38A3">
      <w:pPr>
        <w:pStyle w:val="ListParagraph"/>
        <w:numPr>
          <w:ilvl w:val="1"/>
          <w:numId w:val="3"/>
        </w:numPr>
      </w:pPr>
      <w:r>
        <w:t xml:space="preserve">If you wish you can check the logs during </w:t>
      </w:r>
      <w:proofErr w:type="spellStart"/>
      <w:r>
        <w:t>startup</w:t>
      </w:r>
      <w:proofErr w:type="spellEnd"/>
      <w:r>
        <w:t xml:space="preserve">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id</w:t>
      </w:r>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r w:rsidR="00466570" w:rsidRPr="00466570">
        <w:rPr>
          <w:rFonts w:ascii="Courier New" w:hAnsi="Courier New" w:cs="Courier New"/>
        </w:rPr>
        <w:t>pgsdfgtwevdfg</w:t>
      </w:r>
      <w:proofErr w:type="spell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ogrdb</w:t>
      </w:r>
      <w:proofErr w:type="spellEnd"/>
      <w:r w:rsidRPr="00466570">
        <w:rPr>
          <w:rFonts w:ascii="Courier New" w:hAnsi="Courier New" w:cs="Courier New"/>
        </w:rPr>
        <w:t>;</w:t>
      </w:r>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ogrdb.*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digby</w:t>
      </w:r>
      <w:proofErr w:type="spellEnd"/>
      <w:r w:rsidRPr="00466570">
        <w:rPr>
          <w:rFonts w:ascii="Courier New" w:hAnsi="Courier New" w:cs="Courier New"/>
        </w:rPr>
        <w:t>;</w:t>
      </w:r>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digby.*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wordpress</w:t>
      </w:r>
      <w:proofErr w:type="spellEnd"/>
      <w:r w:rsidRPr="00466570">
        <w:rPr>
          <w:rFonts w:ascii="Courier New" w:hAnsi="Courier New" w:cs="Courier New"/>
        </w:rPr>
        <w:t>;</w:t>
      </w:r>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wordpress.*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FLUSH PRIVILEGES;</w:t>
      </w:r>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Log out of the container</w:t>
      </w:r>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docker-compose down</w:t>
      </w:r>
    </w:p>
    <w:p w14:paraId="0607A83C" w14:textId="5B1EC445" w:rsidR="003947DF" w:rsidRDefault="003947DF" w:rsidP="003947DF">
      <w:pPr>
        <w:pStyle w:val="ListParagraph"/>
        <w:numPr>
          <w:ilvl w:val="1"/>
          <w:numId w:val="3"/>
        </w:numPr>
        <w:rPr>
          <w:rFonts w:cstheme="minorHAnsi"/>
        </w:rPr>
      </w:pPr>
      <w:r>
        <w:rPr>
          <w:rFonts w:cstheme="minorHAnsi"/>
        </w:rPr>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-d</w:t>
      </w:r>
    </w:p>
    <w:p w14:paraId="34CD9E66" w14:textId="750E5242" w:rsidR="001964DF" w:rsidRDefault="001964DF" w:rsidP="003947DF">
      <w:pPr>
        <w:pStyle w:val="ListParagraph"/>
        <w:numPr>
          <w:ilvl w:val="1"/>
          <w:numId w:val="3"/>
        </w:numPr>
        <w:rPr>
          <w:rFonts w:cstheme="minorHAnsi"/>
        </w:rPr>
      </w:pPr>
      <w:r w:rsidRPr="001964DF">
        <w:rPr>
          <w:rFonts w:cstheme="minorHAnsi"/>
        </w:rPr>
        <w:lastRenderedPageBreak/>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718030FE" w:rsidR="000F3CCF" w:rsidRDefault="00C5798E" w:rsidP="00C5798E">
      <w:r>
        <w:t xml:space="preserve">You can skip this section if you don’t intend to provide an instance of </w:t>
      </w:r>
      <w:proofErr w:type="spellStart"/>
      <w:r w:rsidR="00BF5CF2">
        <w:t>VDJbase</w:t>
      </w:r>
      <w:proofErr w:type="spellEnd"/>
      <w:r>
        <w:t xml:space="preserve">, but please make sure you removed the </w:t>
      </w:r>
      <w:proofErr w:type="spellStart"/>
      <w:r w:rsidR="00AD7BFC">
        <w:t>nginx</w:t>
      </w:r>
      <w:proofErr w:type="spellEnd"/>
      <w:r w:rsidR="00AD7BFC">
        <w:t xml:space="preserve"> </w:t>
      </w:r>
      <w:proofErr w:type="spellStart"/>
      <w:r>
        <w:t>vdjbase</w:t>
      </w:r>
      <w:proofErr w:type="spellEnd"/>
      <w:r>
        <w:t xml:space="preserve"> site configuration file in section 2.</w:t>
      </w:r>
      <w:r w:rsidR="00AD7BFC">
        <w:t>5</w:t>
      </w:r>
      <w:r>
        <w:t xml:space="preserve">. This is important because it references the </w:t>
      </w:r>
      <w:proofErr w:type="spellStart"/>
      <w:r w:rsidRPr="00C5798E">
        <w:t>vdjbase_flask</w:t>
      </w:r>
      <w:proofErr w:type="spellEnd"/>
      <w:r>
        <w:t xml:space="preserve"> host name. If this has not been registered on the internal Docker network, </w:t>
      </w:r>
      <w:proofErr w:type="spellStart"/>
      <w:r>
        <w:t>nginx</w:t>
      </w:r>
      <w:proofErr w:type="spellEnd"/>
      <w:r>
        <w:t xml:space="preserve"> will not service </w:t>
      </w:r>
      <w:r w:rsidR="00AD7BFC">
        <w:t>r</w:t>
      </w:r>
      <w:r>
        <w:t>equests</w:t>
      </w:r>
      <w:r w:rsidR="00AD7BFC">
        <w:t xml:space="preserve"> to any host</w:t>
      </w:r>
      <w:r>
        <w:t>.</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62331559" w:rsidR="00C5798E" w:rsidRPr="00C7481D" w:rsidRDefault="00C5798E" w:rsidP="00C5798E">
      <w:pPr>
        <w:pStyle w:val="ListParagraph"/>
        <w:numPr>
          <w:ilvl w:val="1"/>
          <w:numId w:val="3"/>
        </w:numPr>
        <w:rPr>
          <w:rFonts w:ascii="Courier New" w:hAnsi="Courier New" w:cs="Courier New"/>
        </w:rPr>
      </w:pPr>
      <w:r>
        <w:t xml:space="preserve">In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6E271718" w:rsidR="007179EB" w:rsidRP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w:t>
      </w:r>
      <w:r w:rsidR="00F507C1">
        <w:rPr>
          <w:rFonts w:cstheme="minorHAnsi"/>
        </w:rPr>
        <w:lastRenderedPageBreak/>
        <w:t xml:space="preserve">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my_r</w:t>
      </w:r>
      <w:proofErr w:type="spellEnd"/>
      <w:r w:rsidRPr="006B1C26">
        <w:rPr>
          <w:rFonts w:ascii="Courier New" w:hAnsi="Courier New" w:cs="Courier New"/>
        </w:rPr>
        <w:t xml:space="preserve"> .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Check the tail of docker.log for the problem</w:t>
      </w:r>
    </w:p>
    <w:p w14:paraId="3D14FFA8" w14:textId="72E32AF5" w:rsidR="00E048E8" w:rsidRPr="00F62D4F" w:rsidRDefault="00E048E8" w:rsidP="006B1C26">
      <w:pPr>
        <w:pStyle w:val="ListParagraph"/>
        <w:numPr>
          <w:ilvl w:val="2"/>
          <w:numId w:val="3"/>
        </w:numPr>
        <w:rPr>
          <w:rFonts w:asciiTheme="majorHAnsi" w:hAnsiTheme="majorHAnsi" w:cstheme="majorHAnsi"/>
        </w:rPr>
      </w:pPr>
      <w:r>
        <w:rPr>
          <w:rFonts w:cstheme="minorHAnsi"/>
        </w:rPr>
        <w:t xml:space="preserve">Usually the docker file is set to use the latest version of R and the latest version of packages. Problems may occur if you build shortly after a new version of R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r>
        <w:rPr>
          <w:rFonts w:ascii="Courier New" w:hAnsi="Courier New" w:cs="Courier New"/>
        </w:rPr>
        <w:t>flask</w:t>
      </w:r>
      <w:proofErr w:type="spellEnd"/>
      <w:r w:rsidRPr="006B1C26">
        <w:rPr>
          <w:rFonts w:ascii="Courier New" w:hAnsi="Courier New" w:cs="Courier New"/>
        </w:rPr>
        <w:t xml:space="preserve"> .</w:t>
      </w:r>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-d</w:t>
      </w:r>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 You will be prompted to enter details for the administrator account. </w:t>
      </w:r>
    </w:p>
    <w:p w14:paraId="1364F1AD" w14:textId="2C835459" w:rsidR="00D036B5" w:rsidRPr="003A06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62D2D32B" w14:textId="4D7E8573" w:rsidR="0033064A" w:rsidRPr="0033064A" w:rsidRDefault="0033064A" w:rsidP="0033064A">
      <w:pPr>
        <w:rPr>
          <w:rFonts w:cstheme="minorHAnsi"/>
        </w:rPr>
      </w:pPr>
      <w:r w:rsidRPr="0033064A">
        <w:rPr>
          <w:rFonts w:cstheme="minorHAnsi"/>
        </w:rPr>
        <w:t xml:space="preserve">The installation of </w:t>
      </w:r>
      <w:proofErr w:type="spellStart"/>
      <w:r>
        <w:rPr>
          <w:rFonts w:cstheme="minorHAnsi"/>
        </w:rPr>
        <w:t>VDJbase</w:t>
      </w:r>
      <w:proofErr w:type="spellEnd"/>
      <w:r w:rsidRPr="0033064A">
        <w:rPr>
          <w:rFonts w:cstheme="minorHAnsi"/>
        </w:rPr>
        <w:t xml:space="preserve"> is now complete</w:t>
      </w:r>
      <w:r>
        <w:rPr>
          <w:rFonts w:cstheme="minorHAnsi"/>
        </w:rPr>
        <w:t>, and you should be able to explore both AIRR-</w:t>
      </w:r>
      <w:proofErr w:type="spellStart"/>
      <w:r>
        <w:rPr>
          <w:rFonts w:cstheme="minorHAnsi"/>
        </w:rPr>
        <w:t>Seq</w:t>
      </w:r>
      <w:proofErr w:type="spellEnd"/>
      <w:r>
        <w:rPr>
          <w:rFonts w:cstheme="minorHAnsi"/>
        </w:rPr>
        <w:t xml:space="preserve"> and genomic data.</w:t>
      </w:r>
    </w:p>
    <w:p w14:paraId="3A93D265" w14:textId="06192BCF" w:rsidR="00F34719" w:rsidRDefault="00D036B5" w:rsidP="00F34719">
      <w:r w:rsidRPr="0033064A">
        <w:rPr>
          <w:rFonts w:asciiTheme="majorHAnsi" w:hAnsiTheme="majorHAnsi" w:cstheme="majorHAnsi"/>
        </w:rPr>
        <w:lastRenderedPageBreak/>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 xml:space="preserve">but please make sure you removed the </w:t>
      </w:r>
      <w:proofErr w:type="spellStart"/>
      <w:r w:rsidR="00317DFC">
        <w:t>nginx</w:t>
      </w:r>
      <w:proofErr w:type="spellEnd"/>
      <w:r w:rsidR="00317DFC">
        <w:t xml:space="preserve">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w:t>
      </w:r>
      <w:proofErr w:type="spellStart"/>
      <w:r w:rsidR="00C5798E">
        <w:t>nginx</w:t>
      </w:r>
      <w:proofErr w:type="spellEnd"/>
      <w:r w:rsidR="00C5798E">
        <w:t xml:space="preserve"> will not service any requests.</w:t>
      </w:r>
    </w:p>
    <w:p w14:paraId="10AC0308" w14:textId="66F0B9A8" w:rsidR="000F3CCF" w:rsidRDefault="000F3CCF" w:rsidP="00F34719">
      <w:r>
        <w:t xml:space="preserve">Assuming that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77777777" w:rsidR="00C7481D" w:rsidRPr="00C7481D" w:rsidRDefault="00175D1F" w:rsidP="00175D1F">
      <w:pPr>
        <w:pStyle w:val="ListParagraph"/>
        <w:numPr>
          <w:ilvl w:val="1"/>
          <w:numId w:val="3"/>
        </w:numPr>
        <w:rPr>
          <w:rFonts w:ascii="Courier New" w:hAnsi="Courier New" w:cs="Courier New"/>
        </w:rPr>
      </w:pPr>
      <w:r>
        <w:t xml:space="preserve">In </w:t>
      </w:r>
      <w:proofErr w:type="spellStart"/>
      <w:r w:rsidRPr="00255F5D">
        <w:rPr>
          <w:rFonts w:ascii="Courier New" w:hAnsi="Courier New" w:cs="Courier New"/>
        </w:rPr>
        <w:t>ogrdb_docker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my_flask</w:t>
      </w:r>
      <w:proofErr w:type="spellEnd"/>
      <w:r w:rsidR="00255F5D" w:rsidRPr="00255F5D">
        <w:rPr>
          <w:rFonts w:ascii="Courier New" w:hAnsi="Courier New" w:cs="Courier New"/>
        </w:rPr>
        <w:t xml:space="preserve"> .</w:t>
      </w:r>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-d</w:t>
      </w:r>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lastRenderedPageBreak/>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and the Admin item should be in the top-level menu</w:t>
      </w:r>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0106125E" w14:textId="57EBBE5D" w:rsidR="00F507C1" w:rsidRDefault="003452C3" w:rsidP="00710C7A">
      <w:pPr>
        <w:rPr>
          <w:rFonts w:cstheme="minorHAnsi"/>
        </w:rPr>
      </w:pPr>
      <w:r>
        <w:rPr>
          <w:rFonts w:cstheme="minorHAnsi"/>
        </w:rPr>
        <w:t>2.6 Location of backups</w:t>
      </w:r>
    </w:p>
    <w:p w14:paraId="09F2C9DC" w14:textId="0E470485" w:rsidR="003452C3" w:rsidRDefault="003452C3" w:rsidP="00710C7A">
      <w:pPr>
        <w:rPr>
          <w:rFonts w:cstheme="minorHAnsi"/>
        </w:rPr>
      </w:pPr>
      <w:r>
        <w:rPr>
          <w:rFonts w:cstheme="minorHAnsi"/>
        </w:rPr>
        <w:t>2.7 Configuration of Alerts</w:t>
      </w:r>
    </w:p>
    <w:p w14:paraId="6FB8865C" w14:textId="77777777" w:rsidR="003452C3" w:rsidRDefault="003452C3"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256C896B" w:rsidR="003452C3" w:rsidRDefault="003452C3" w:rsidP="00710C7A">
      <w:pPr>
        <w:rPr>
          <w:rFonts w:cstheme="minorHAnsi"/>
        </w:rPr>
      </w:pPr>
      <w:r>
        <w:rPr>
          <w:rFonts w:cstheme="minorHAnsi"/>
        </w:rPr>
        <w:t>3.1 Operational checks</w:t>
      </w: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data</w:t>
      </w:r>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subtree</w:t>
      </w:r>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stop and restart.</w:t>
      </w:r>
    </w:p>
    <w:p w14:paraId="6F125185" w14:textId="65BB596B"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data</w:t>
      </w:r>
    </w:p>
    <w:p w14:paraId="1410BC49" w14:textId="37017570" w:rsidR="00654591" w:rsidRDefault="00654591" w:rsidP="00710C7A">
      <w:pPr>
        <w:rPr>
          <w:rFonts w:cstheme="minorHAnsi"/>
        </w:rPr>
      </w:pPr>
      <w:r>
        <w:rPr>
          <w:rFonts w:cstheme="minorHAnsi"/>
        </w:rPr>
        <w:t xml:space="preserve">3.2.3 </w:t>
      </w:r>
      <w:r w:rsidR="00E36504">
        <w:rPr>
          <w:rFonts w:cstheme="minorHAnsi"/>
        </w:rPr>
        <w:t>Reports</w:t>
      </w:r>
    </w:p>
    <w:p w14:paraId="4E03252D" w14:textId="34F78667" w:rsidR="00E36504" w:rsidRDefault="00E36504" w:rsidP="00710C7A">
      <w:pPr>
        <w:rPr>
          <w:rFonts w:cstheme="minorHAnsi"/>
        </w:rPr>
      </w:pPr>
      <w:r>
        <w:rPr>
          <w:rFonts w:cstheme="minorHAnsi"/>
        </w:rPr>
        <w:t>3.2.4 Logs</w:t>
      </w:r>
    </w:p>
    <w:p w14:paraId="4F3E2A6A" w14:textId="2C0BF1A9" w:rsidR="00E36504" w:rsidRDefault="00E36504" w:rsidP="00710C7A">
      <w:pPr>
        <w:rPr>
          <w:rFonts w:cstheme="minorHAnsi"/>
        </w:rPr>
      </w:pPr>
      <w:r>
        <w:rPr>
          <w:rFonts w:cstheme="minorHAnsi"/>
        </w:rPr>
        <w:lastRenderedPageBreak/>
        <w:t>3.2.5 The Admin menu</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software</w:t>
      </w:r>
    </w:p>
    <w:p w14:paraId="21475A52" w14:textId="5B57D52F" w:rsidR="008F594A" w:rsidRDefault="008F594A" w:rsidP="00710C7A">
      <w:pPr>
        <w:rPr>
          <w:rFonts w:asciiTheme="majorHAnsi" w:hAnsiTheme="majorHAnsi" w:cstheme="majorHAnsi"/>
        </w:rPr>
      </w:pPr>
      <w:r>
        <w:rPr>
          <w:rFonts w:cstheme="minorHAnsi"/>
        </w:rPr>
        <w:t xml:space="preserve">To upgrade the software, 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r w:rsidR="0020674E">
        <w:rPr>
          <w:rFonts w:cstheme="minorHAnsi"/>
        </w:rPr>
        <w:t>called .</w:t>
      </w:r>
      <w:proofErr w:type="spellStart"/>
      <w:r w:rsidR="0020674E">
        <w:rPr>
          <w:rFonts w:cstheme="minorHAnsi"/>
        </w:rPr>
        <w:t>gitkeep</w:t>
      </w:r>
      <w:proofErr w:type="spell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77777777" w:rsidR="00E36504" w:rsidRDefault="00E36504" w:rsidP="00710C7A">
      <w:pPr>
        <w:rPr>
          <w:rFonts w:cstheme="minorHAnsi"/>
        </w:rPr>
      </w:pP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r>
        <w:rPr>
          <w:rFonts w:cstheme="minorHAnsi"/>
        </w:rPr>
        <w:t>flask</w:t>
      </w:r>
    </w:p>
    <w:p w14:paraId="44EB336F" w14:textId="1195B10F" w:rsidR="009B650A" w:rsidRDefault="009B650A" w:rsidP="00F507C1">
      <w:pPr>
        <w:rPr>
          <w:rFonts w:cstheme="minorHAnsi"/>
        </w:rPr>
      </w:pPr>
      <w:r>
        <w:rPr>
          <w:rFonts w:cstheme="minorHAnsi"/>
        </w:rPr>
        <w:t>3.3.5 Upgrading the software</w:t>
      </w:r>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3.4.2 Managing space</w:t>
      </w:r>
    </w:p>
    <w:p w14:paraId="374372CA" w14:textId="362B7A64" w:rsidR="009B650A" w:rsidRPr="00F507C1" w:rsidRDefault="009B650A" w:rsidP="00F507C1">
      <w:pPr>
        <w:rPr>
          <w:rFonts w:cstheme="minorHAnsi"/>
        </w:rPr>
      </w:pPr>
      <w:r>
        <w:rPr>
          <w:rFonts w:cstheme="minorHAnsi"/>
        </w:rPr>
        <w:t>3.4.2 Upgrading the software</w:t>
      </w:r>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49765B"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r>
        <w:rPr>
          <w:rFonts w:ascii="Courier New" w:hAnsi="Courier New" w:cs="Courier New"/>
        </w:rPr>
        <w:t>down</w:t>
      </w:r>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w:t>
      </w:r>
      <w:proofErr w:type="spellStart"/>
      <w:r w:rsidRPr="00BD041B">
        <w:rPr>
          <w:rFonts w:ascii="Courier New" w:hAnsi="Courier New" w:cs="Courier New"/>
        </w:rPr>
        <w:t>nginx</w:t>
      </w:r>
      <w:proofErr w:type="spellEnd"/>
      <w:r w:rsidRPr="00BD041B">
        <w:rPr>
          <w:rFonts w:ascii="Courier New" w:hAnsi="Courier New" w:cs="Courier New"/>
        </w:rPr>
        <w:t>/www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git pull</w:t>
      </w:r>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my_flask</w:t>
      </w:r>
      <w:proofErr w:type="spellEnd"/>
      <w:r w:rsidRPr="00AC728B">
        <w:rPr>
          <w:rFonts w:ascii="Courier New" w:hAnsi="Courier New" w:cs="Courier New"/>
        </w:rPr>
        <w:t xml:space="preserve"> .</w:t>
      </w:r>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-d</w:t>
      </w:r>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w:t>
      </w:r>
      <w:proofErr w:type="spellStart"/>
      <w:r>
        <w:rPr>
          <w:rFonts w:cstheme="minorHAnsi"/>
        </w:rPr>
        <w:t>nginx</w:t>
      </w:r>
      <w:proofErr w:type="spellEnd"/>
      <w:r>
        <w:rPr>
          <w:rFonts w:cstheme="minorHAnsi"/>
        </w:rPr>
        <w:t xml:space="preserve"> logs are 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w:t>
      </w:r>
      <w:proofErr w:type="spellStart"/>
      <w:r w:rsidR="00BD041B" w:rsidRPr="00BD041B">
        <w:rPr>
          <w:rFonts w:ascii="Courier New" w:hAnsi="Courier New" w:cs="Courier New"/>
        </w:rPr>
        <w:t>nginx</w:t>
      </w:r>
      <w:proofErr w:type="spellEnd"/>
      <w:r w:rsidR="00BD041B" w:rsidRPr="00BD041B">
        <w:rPr>
          <w:rFonts w:ascii="Courier New" w:hAnsi="Courier New" w:cs="Courier New"/>
        </w:rPr>
        <w:t>/log/</w:t>
      </w:r>
      <w:proofErr w:type="spellStart"/>
      <w:r w:rsidR="00BD041B" w:rsidRPr="00BD041B">
        <w:rPr>
          <w:rFonts w:ascii="Courier New" w:hAnsi="Courier New" w:cs="Courier New"/>
        </w:rPr>
        <w:t>nginx</w:t>
      </w:r>
      <w:proofErr w:type="spellEnd"/>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Docker conservatively stores many built images and containers. If you build repeatedly you will eventually run out of space. To reclaim space, use the commands</w:t>
      </w:r>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lastRenderedPageBreak/>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t>Once the swap is configured, you can turn it on with the line</w:t>
      </w:r>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database</w:t>
      </w:r>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2"/>
    <w:lvlOverride w:ilvl="0">
      <w:startOverride w:val="1"/>
    </w:lvlOverride>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631C4"/>
    <w:rsid w:val="000663DB"/>
    <w:rsid w:val="000B4A94"/>
    <w:rsid w:val="000B66C1"/>
    <w:rsid w:val="000F3CCF"/>
    <w:rsid w:val="00114EBA"/>
    <w:rsid w:val="0017334D"/>
    <w:rsid w:val="00174C02"/>
    <w:rsid w:val="00175D1F"/>
    <w:rsid w:val="001808D2"/>
    <w:rsid w:val="00185DFB"/>
    <w:rsid w:val="001964DF"/>
    <w:rsid w:val="001A6B2B"/>
    <w:rsid w:val="0020674E"/>
    <w:rsid w:val="002112E9"/>
    <w:rsid w:val="00213221"/>
    <w:rsid w:val="00225DAC"/>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F548C"/>
    <w:rsid w:val="00606829"/>
    <w:rsid w:val="006103DB"/>
    <w:rsid w:val="00633B38"/>
    <w:rsid w:val="00654591"/>
    <w:rsid w:val="006730A7"/>
    <w:rsid w:val="0069265E"/>
    <w:rsid w:val="006B1C26"/>
    <w:rsid w:val="006B2508"/>
    <w:rsid w:val="006E57F6"/>
    <w:rsid w:val="006F47F2"/>
    <w:rsid w:val="00710C7A"/>
    <w:rsid w:val="00711C26"/>
    <w:rsid w:val="00714D05"/>
    <w:rsid w:val="007179EB"/>
    <w:rsid w:val="00726F1F"/>
    <w:rsid w:val="00734F7A"/>
    <w:rsid w:val="007421E8"/>
    <w:rsid w:val="007633BA"/>
    <w:rsid w:val="00777CE5"/>
    <w:rsid w:val="00794F24"/>
    <w:rsid w:val="007A472B"/>
    <w:rsid w:val="007A6660"/>
    <w:rsid w:val="007F7D37"/>
    <w:rsid w:val="0082596B"/>
    <w:rsid w:val="0086635E"/>
    <w:rsid w:val="00866570"/>
    <w:rsid w:val="0087095B"/>
    <w:rsid w:val="008710CB"/>
    <w:rsid w:val="008848E8"/>
    <w:rsid w:val="008907B3"/>
    <w:rsid w:val="00891CF7"/>
    <w:rsid w:val="008C6E34"/>
    <w:rsid w:val="008D2996"/>
    <w:rsid w:val="008E38A3"/>
    <w:rsid w:val="008E40C9"/>
    <w:rsid w:val="008E43A8"/>
    <w:rsid w:val="008F2104"/>
    <w:rsid w:val="008F594A"/>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58E4"/>
    <w:rsid w:val="00B04493"/>
    <w:rsid w:val="00B1168B"/>
    <w:rsid w:val="00B2044E"/>
    <w:rsid w:val="00B373A7"/>
    <w:rsid w:val="00B416A0"/>
    <w:rsid w:val="00B43AE8"/>
    <w:rsid w:val="00B63A94"/>
    <w:rsid w:val="00B77EC7"/>
    <w:rsid w:val="00B85B04"/>
    <w:rsid w:val="00BA0BDB"/>
    <w:rsid w:val="00BD041B"/>
    <w:rsid w:val="00BD52AA"/>
    <w:rsid w:val="00BF27D9"/>
    <w:rsid w:val="00BF5CF2"/>
    <w:rsid w:val="00C246F3"/>
    <w:rsid w:val="00C2773B"/>
    <w:rsid w:val="00C43EAC"/>
    <w:rsid w:val="00C5798E"/>
    <w:rsid w:val="00C7481D"/>
    <w:rsid w:val="00C813D0"/>
    <w:rsid w:val="00CB0EEA"/>
    <w:rsid w:val="00CC03E6"/>
    <w:rsid w:val="00CF6381"/>
    <w:rsid w:val="00D036B5"/>
    <w:rsid w:val="00D2058E"/>
    <w:rsid w:val="00D2659D"/>
    <w:rsid w:val="00D366F4"/>
    <w:rsid w:val="00D46C84"/>
    <w:rsid w:val="00D57680"/>
    <w:rsid w:val="00D87231"/>
    <w:rsid w:val="00DB6BFF"/>
    <w:rsid w:val="00DC058C"/>
    <w:rsid w:val="00DC2B70"/>
    <w:rsid w:val="00E048E8"/>
    <w:rsid w:val="00E21B76"/>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theme" Target="theme/theme1.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fontTable" Target="fontTable.xm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11</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27</cp:revision>
  <dcterms:created xsi:type="dcterms:W3CDTF">2021-11-20T10:31:00Z</dcterms:created>
  <dcterms:modified xsi:type="dcterms:W3CDTF">2021-11-27T15:46:00Z</dcterms:modified>
</cp:coreProperties>
</file>