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8"/>
        </w:rPr>
        <w:t>AI Power-Demand Model</w:t>
      </w:r>
    </w:p>
    <w:p>
      <w:pPr>
        <w:jc w:val="center"/>
      </w:pPr>
      <w:r>
        <w:rPr>
          <w:color w:val="606A78"/>
          <w:sz w:val="26"/>
        </w:rPr>
        <w:t>User Guide, Key Terms, and Assumption Methodology</w:t>
      </w:r>
    </w:p>
    <w:p>
      <w:pPr>
        <w:jc w:val="center"/>
      </w:pPr>
      <w:r>
        <w:rPr>
          <w:color w:val="606A78"/>
          <w:sz w:val="20"/>
        </w:rPr>
        <w:t>Peckham Capital  ·  AI Infrastructure Supply Chain  ·  June 2026</w:t>
      </w:r>
    </w:p>
    <w:p>
      <w:pPr>
        <w:pStyle w:val="Heading1"/>
      </w:pPr>
      <w:r>
        <w:rPr>
          <w:color w:val="2C3E50"/>
        </w:rPr>
        <w:t>1.  What this model does</w:t>
      </w:r>
    </w:p>
    <w:p>
      <w:r>
        <w:rPr>
          <w:i w:val="0"/>
          <w:color w:val="1A1A1A"/>
          <w:sz w:val="21"/>
        </w:rPr>
        <w:t>This model answers two questions for the AI-infrastructure thesis: how large does data-center power demand get, and how long does the resulting supply shortage (the "gap") last. It starts from a forecast of AI token usage, converts those tokens into electrical power, compares that demand against the pace at which power and grid capacity can physically be built, and reports the gap year by year out to 2042.</w:t>
      </w:r>
    </w:p>
    <w:p>
      <w:r>
        <w:rPr>
          <w:i w:val="0"/>
          <w:color w:val="1A1A1A"/>
          <w:sz w:val="21"/>
        </w:rPr>
        <w:t>There are two lenses on the same engine:</w:t>
      </w:r>
    </w:p>
    <w:p>
      <w:pPr>
        <w:pStyle w:val="ListBullet"/>
      </w:pPr>
      <w:r>
        <w:rPr>
          <w:b/>
          <w:color w:val="1A1A1A"/>
          <w:sz w:val="21"/>
        </w:rPr>
        <w:t xml:space="preserve">Token base (the committed headline). </w:t>
      </w:r>
      <w:r>
        <w:rPr>
          <w:color w:val="1A1A1A"/>
          <w:sz w:val="21"/>
        </w:rPr>
        <w:t>Peak gap 332 GW in 2029; the gap closes around 2034. This is the locked base case.</w:t>
      </w:r>
    </w:p>
    <w:p>
      <w:pPr>
        <w:pStyle w:val="ListBullet"/>
      </w:pPr>
      <w:r>
        <w:rPr>
          <w:b/>
          <w:color w:val="1A1A1A"/>
          <w:sz w:val="21"/>
        </w:rPr>
        <w:t xml:space="preserve">FLOPs / Duration lens. </w:t>
      </w:r>
      <w:r>
        <w:rPr>
          <w:color w:val="1A1A1A"/>
          <w:sz w:val="21"/>
        </w:rPr>
        <w:t>A physically honest re-derivation. It produces a slightly lower peak (278 GW in 2031) but a materially higher demand floor (708 GW vs 549) and a later close (~2036). Its message is duration, not magnitude.</w:t>
      </w:r>
    </w:p>
    <w:p>
      <w:r>
        <w:rPr>
          <w:i/>
          <w:color w:val="1A1A1A"/>
          <w:sz w:val="21"/>
        </w:rPr>
        <w:t>Both lenses live in one Excel workbook and in a Streamlit dashboard. The Excel is the place to read and stress-test; the dashboard is the place to explore interactively.</w:t>
      </w:r>
    </w:p>
    <w:p>
      <w:pPr>
        <w:pStyle w:val="Heading1"/>
      </w:pPr>
      <w:r>
        <w:rPr>
          <w:color w:val="2C3E50"/>
        </w:rPr>
        <w:t>2.  How to use it — the Excel workbook</w:t>
      </w:r>
    </w:p>
    <w:p>
      <w:r>
        <w:rPr>
          <w:i w:val="0"/>
          <w:color w:val="1A1A1A"/>
          <w:sz w:val="21"/>
        </w:rPr>
        <w:t>File: Token_and_Data_Build_Out_v4_2.xlsx. The original sheets (Summary, Efficiency Overlay, Base, Robo Bull, Bear) are the token-demand source data and are unchanged. Four new tabs hold the power model. Edit only the input cells; everything else is a live formula that recomputes.</w:t>
      </w:r>
    </w:p>
    <w:p>
      <w:pPr>
        <w:pStyle w:val="Heading2"/>
      </w:pPr>
      <w:r>
        <w:rPr>
          <w:color w:val="2C3E50"/>
        </w:rPr>
        <w:t>Tab: Macro Levers</w:t>
      </w:r>
    </w:p>
    <w:p>
      <w:r>
        <w:rPr>
          <w:i w:val="0"/>
          <w:color w:val="1A1A1A"/>
          <w:sz w:val="21"/>
        </w:rPr>
        <w:t>The master input list for the FLOPs lens. Column B holds each value; edit it and the dashboard and the FLOPs tabs pick it up. Use this when you want one place to set the assumptions.</w:t>
      </w:r>
    </w:p>
    <w:p>
      <w:pPr>
        <w:pStyle w:val="Heading2"/>
      </w:pPr>
      <w:r>
        <w:rPr>
          <w:color w:val="2C3E50"/>
        </w:rPr>
        <w:t>Tab: FLOPs to Power</w:t>
      </w:r>
    </w:p>
    <w:p>
      <w:r>
        <w:rPr>
          <w:i w:val="0"/>
          <w:color w:val="1A1A1A"/>
          <w:sz w:val="21"/>
        </w:rPr>
        <w:t>The live conversion engine. Reading left to right, each row turns one year's tokens into power:</w:t>
      </w:r>
    </w:p>
    <w:p>
      <w:pPr>
        <w:pStyle w:val="ListNumber"/>
      </w:pPr>
      <w:r>
        <w:rPr>
          <w:color w:val="1A1A1A"/>
          <w:sz w:val="21"/>
        </w:rPr>
        <w:t>tokens/day — linked live to the Efficiency Overlay sheet.</w:t>
      </w:r>
    </w:p>
    <w:p>
      <w:pPr>
        <w:pStyle w:val="ListNumber"/>
      </w:pPr>
      <w:r>
        <w:rPr>
          <w:color w:val="1A1A1A"/>
          <w:sz w:val="21"/>
        </w:rPr>
        <w:t>× FLOPs per token (= 2 × N, the active-parameter count) → FLOPs per day.</w:t>
      </w:r>
    </w:p>
    <w:p>
      <w:pPr>
        <w:pStyle w:val="ListNumber"/>
      </w:pPr>
      <w:r>
        <w:rPr>
          <w:color w:val="1A1A1A"/>
          <w:sz w:val="21"/>
        </w:rPr>
        <w:t>÷ chip efficiency (TFLOP/W) → re-anchored so 2025 = 70 GW → power.</w:t>
      </w:r>
    </w:p>
    <w:p>
      <w:r>
        <w:rPr>
          <w:i w:val="0"/>
          <w:color w:val="1A1A1A"/>
          <w:sz w:val="21"/>
        </w:rPr>
        <w:t>Two power columns are shown: power_raw_GW (the pure pull, which can dip as efficiency overtakes demand) and power_GW_floored (with the "you don't tear down a power plant" floor). Editable inputs: anchor, retirement rate, and per-year training share, N, and TFLOP/W.</w:t>
      </w:r>
    </w:p>
    <w:p>
      <w:pPr>
        <w:pStyle w:val="Heading2"/>
      </w:pPr>
      <w:r>
        <w:rPr>
          <w:color w:val="2C3E50"/>
        </w:rPr>
        <w:t>Tab: Duration Lens</w:t>
      </w:r>
    </w:p>
    <w:p>
      <w:r>
        <w:rPr>
          <w:i w:val="0"/>
          <w:color w:val="1A1A1A"/>
          <w:sz w:val="21"/>
        </w:rPr>
        <w:t>A clean, write-from summary. Seven sections: the question, the conversion with a worked 2025-vs-2035 example, the tug-of-war, a token-base-vs-FLOPs comparison, a chart-ready data block (select the block and Insert → Line Chart), where to stress-test, and the takeaway. The FLOPs line is linked live, so it tracks any change you make on FLOPs to Power.</w:t>
      </w:r>
    </w:p>
    <w:p>
      <w:pPr>
        <w:pStyle w:val="Heading2"/>
      </w:pPr>
      <w:r>
        <w:rPr>
          <w:color w:val="2C3E50"/>
        </w:rPr>
        <w:t>Tab: Operating Model  (the main stress-test surface)</w:t>
      </w:r>
    </w:p>
    <w:p>
      <w:r>
        <w:rPr>
          <w:i w:val="0"/>
          <w:color w:val="1A1A1A"/>
          <w:sz w:val="21"/>
        </w:rPr>
        <w:t>The full Demand → Supply → Gap chain with a Bull / Base / Bear switch. Set the scenario in cell B3 (1 = Bull, 2 = Base, 3 = Bear) and the entire sheet recomputes. The scenario table (editable) drives five levers:</w:t>
      </w:r>
    </w:p>
    <w:p>
      <w:pPr>
        <w:pStyle w:val="ListBullet"/>
      </w:pPr>
      <w:r>
        <w:rPr>
          <w:b/>
          <w:color w:val="1A1A1A"/>
          <w:sz w:val="21"/>
        </w:rPr>
        <w:t xml:space="preserve">anchor GW — </w:t>
      </w:r>
      <w:r>
        <w:rPr>
          <w:color w:val="1A1A1A"/>
          <w:sz w:val="21"/>
        </w:rPr>
        <w:t>the 2025 starting power level.</w:t>
      </w:r>
    </w:p>
    <w:p>
      <w:pPr>
        <w:pStyle w:val="ListBullet"/>
      </w:pPr>
      <w:r>
        <w:rPr>
          <w:b/>
          <w:color w:val="1A1A1A"/>
          <w:sz w:val="21"/>
        </w:rPr>
        <w:t xml:space="preserve">token growth adjustment — </w:t>
      </w:r>
      <w:r>
        <w:rPr>
          <w:color w:val="1A1A1A"/>
          <w:sz w:val="21"/>
        </w:rPr>
        <w:t>speeds or slows the base token path.</w:t>
      </w:r>
    </w:p>
    <w:p>
      <w:pPr>
        <w:pStyle w:val="ListBullet"/>
      </w:pPr>
      <w:r>
        <w:rPr>
          <w:b/>
          <w:color w:val="1A1A1A"/>
          <w:sz w:val="21"/>
        </w:rPr>
        <w:t xml:space="preserve">efficiency adjustment — </w:t>
      </w:r>
      <w:r>
        <w:rPr>
          <w:color w:val="1A1A1A"/>
          <w:sz w:val="21"/>
        </w:rPr>
        <w:t>+ means chips improve faster, which lowers power.</w:t>
      </w:r>
    </w:p>
    <w:p>
      <w:pPr>
        <w:pStyle w:val="ListBullet"/>
      </w:pPr>
      <w:r>
        <w:rPr>
          <w:b/>
          <w:color w:val="1A1A1A"/>
          <w:sz w:val="21"/>
        </w:rPr>
        <w:t xml:space="preserve">capacity retirement — </w:t>
      </w:r>
      <w:r>
        <w:rPr>
          <w:color w:val="1A1A1A"/>
          <w:sz w:val="21"/>
        </w:rPr>
        <w:t>how fast old data centers are retired (plateau vs cliff).</w:t>
      </w:r>
    </w:p>
    <w:p>
      <w:pPr>
        <w:pStyle w:val="ListBullet"/>
      </w:pPr>
      <w:r>
        <w:rPr>
          <w:b/>
          <w:color w:val="1A1A1A"/>
          <w:sz w:val="21"/>
        </w:rPr>
        <w:t xml:space="preserve">supply build scale — </w:t>
      </w:r>
      <w:r>
        <w:rPr>
          <w:color w:val="1A1A1A"/>
          <w:sz w:val="21"/>
        </w:rPr>
        <w:t>multiplies the build-pace phase rates (slower build = bigger gap).</w:t>
      </w:r>
    </w:p>
    <w:p>
      <w:r>
        <w:rPr>
          <w:i w:val="0"/>
          <w:color w:val="1A1A1A"/>
          <w:sz w:val="21"/>
        </w:rPr>
        <w:t>The summary block reports peak gap, peak year, balance year (gap &lt; 30 GW), overshoot year (gap &lt; 0), and the 2042 floor. The Base scenario reproduces the Duration lens exactly, so it is a built-in consistency check.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Scenario</w:t>
            </w:r>
          </w:p>
        </w:tc>
        <w:tc>
          <w:tcPr>
            <w:tcW w:type="dxa" w:w="2160"/>
          </w:tcPr>
          <w:p>
            <w:r/>
            <w:r>
              <w:rPr>
                <w:b/>
                <w:sz w:val="19"/>
              </w:rPr>
              <w:t>Peak gap</w:t>
            </w:r>
          </w:p>
        </w:tc>
        <w:tc>
          <w:tcPr>
            <w:tcW w:type="dxa" w:w="2160"/>
          </w:tcPr>
          <w:p>
            <w:r/>
            <w:r>
              <w:rPr>
                <w:b/>
                <w:sz w:val="19"/>
              </w:rPr>
              <w:t>Peak year</w:t>
            </w:r>
          </w:p>
        </w:tc>
        <w:tc>
          <w:tcPr>
            <w:tcW w:type="dxa" w:w="2160"/>
          </w:tcPr>
          <w:p>
            <w:r/>
            <w:r>
              <w:rPr>
                <w:b/>
                <w:sz w:val="19"/>
              </w:rPr>
              <w:t>Read</w:t>
            </w:r>
          </w:p>
        </w:tc>
      </w:tr>
      <w:tr>
        <w:tc>
          <w:tcPr>
            <w:tcW w:type="dxa" w:w="2160"/>
          </w:tcPr>
          <w:p>
            <w:r/>
            <w:r>
              <w:rPr>
                <w:sz w:val="19"/>
              </w:rPr>
              <w:t>Bull</w:t>
            </w:r>
          </w:p>
        </w:tc>
        <w:tc>
          <w:tcPr>
            <w:tcW w:type="dxa" w:w="2160"/>
          </w:tcPr>
          <w:p>
            <w:r/>
            <w:r>
              <w:rPr>
                <w:sz w:val="19"/>
              </w:rPr>
              <w:t>~526 GW</w:t>
            </w:r>
          </w:p>
        </w:tc>
        <w:tc>
          <w:tcPr>
            <w:tcW w:type="dxa" w:w="2160"/>
          </w:tcPr>
          <w:p>
            <w:r/>
            <w:r>
              <w:rPr>
                <w:sz w:val="19"/>
              </w:rPr>
              <w:t>2034</w:t>
            </w:r>
          </w:p>
        </w:tc>
        <w:tc>
          <w:tcPr>
            <w:tcW w:type="dxa" w:w="2160"/>
          </w:tcPr>
          <w:p>
            <w:r/>
            <w:r>
              <w:rPr>
                <w:sz w:val="19"/>
              </w:rPr>
              <w:t>power high and long</w:t>
            </w:r>
          </w:p>
        </w:tc>
      </w:tr>
      <w:tr>
        <w:tc>
          <w:tcPr>
            <w:tcW w:type="dxa" w:w="2160"/>
          </w:tcPr>
          <w:p>
            <w:r/>
            <w:r>
              <w:rPr>
                <w:sz w:val="19"/>
              </w:rPr>
              <w:t>Base</w:t>
            </w:r>
          </w:p>
        </w:tc>
        <w:tc>
          <w:tcPr>
            <w:tcW w:type="dxa" w:w="2160"/>
          </w:tcPr>
          <w:p>
            <w:r/>
            <w:r>
              <w:rPr>
                <w:sz w:val="19"/>
              </w:rPr>
              <w:t>~278 GW</w:t>
            </w:r>
          </w:p>
        </w:tc>
        <w:tc>
          <w:tcPr>
            <w:tcW w:type="dxa" w:w="2160"/>
          </w:tcPr>
          <w:p>
            <w:r/>
            <w:r>
              <w:rPr>
                <w:sz w:val="19"/>
              </w:rPr>
              <w:t>2031</w:t>
            </w:r>
          </w:p>
        </w:tc>
        <w:tc>
          <w:tcPr>
            <w:tcW w:type="dxa" w:w="2160"/>
          </w:tcPr>
          <w:p>
            <w:r/>
            <w:r>
              <w:rPr>
                <w:sz w:val="19"/>
              </w:rPr>
              <w:t>committed FLOPs lens</w:t>
            </w:r>
          </w:p>
        </w:tc>
      </w:tr>
      <w:tr>
        <w:tc>
          <w:tcPr>
            <w:tcW w:type="dxa" w:w="2160"/>
          </w:tcPr>
          <w:p>
            <w:r/>
            <w:r>
              <w:rPr>
                <w:sz w:val="19"/>
              </w:rPr>
              <w:t>Bear</w:t>
            </w:r>
          </w:p>
        </w:tc>
        <w:tc>
          <w:tcPr>
            <w:tcW w:type="dxa" w:w="2160"/>
          </w:tcPr>
          <w:p>
            <w:r/>
            <w:r>
              <w:rPr>
                <w:sz w:val="19"/>
              </w:rPr>
              <w:t>~121 GW</w:t>
            </w:r>
          </w:p>
        </w:tc>
        <w:tc>
          <w:tcPr>
            <w:tcW w:type="dxa" w:w="2160"/>
          </w:tcPr>
          <w:p>
            <w:r/>
            <w:r>
              <w:rPr>
                <w:sz w:val="19"/>
              </w:rPr>
              <w:t>2029</w:t>
            </w:r>
          </w:p>
        </w:tc>
        <w:tc>
          <w:tcPr>
            <w:tcW w:type="dxa" w:w="2160"/>
          </w:tcPr>
          <w:p>
            <w:r/>
            <w:r>
              <w:rPr>
                <w:sz w:val="19"/>
              </w:rPr>
              <w:t>power rolls over early</w:t>
            </w:r>
          </w:p>
        </w:tc>
      </w:tr>
    </w:tbl>
    <w:p>
      <w:r>
        <w:rPr>
          <w:i/>
          <w:color w:val="1A1A1A"/>
          <w:sz w:val="21"/>
        </w:rPr>
        <w:t>Every formula in these tabs has been verified to recompute to its displayed value, so opening the file and letting Excel recalculate changes nothing.</w:t>
      </w:r>
    </w:p>
    <w:p>
      <w:pPr>
        <w:pStyle w:val="Heading1"/>
      </w:pPr>
      <w:r>
        <w:rPr>
          <w:color w:val="2C3E50"/>
        </w:rPr>
        <w:t>3.  How to use it — the dashboard</w:t>
      </w:r>
    </w:p>
    <w:p>
      <w:r>
        <w:rPr>
          <w:i w:val="0"/>
          <w:color w:val="1A1A1A"/>
          <w:sz w:val="21"/>
        </w:rPr>
        <w:t>Launch: run.bat (serves on port 8502). The Macro tab shows the demand / supply / gap chart and headline metrics. The sidebar expander "FLOPs demand &amp; retirement" exposes the same levers as the Macro Levers Excel tab. The "Duration Lens" panel on the Macro tab shows the tokens → FLOPs → power conversion live and the token-vs-FLOPs comparison. The dashboard reads its defaults from the Macro Levers Excel tab, so the two stay consistent.</w:t>
      </w:r>
    </w:p>
    <w:p>
      <w:pPr>
        <w:pStyle w:val="Heading1"/>
      </w:pPr>
      <w:r>
        <w:rPr>
          <w:color w:val="2C3E50"/>
        </w:rPr>
        <w:t>4.  Key terms</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Term</w:t>
            </w:r>
          </w:p>
        </w:tc>
        <w:tc>
          <w:tcPr>
            <w:tcW w:type="dxa" w:w="4320"/>
          </w:tcPr>
          <w:p>
            <w:r/>
            <w:r>
              <w:rPr>
                <w:b/>
                <w:sz w:val="19"/>
              </w:rPr>
              <w:t>Definition</w:t>
            </w:r>
          </w:p>
        </w:tc>
      </w:tr>
      <w:tr>
        <w:tc>
          <w:tcPr>
            <w:tcW w:type="dxa" w:w="4320"/>
          </w:tcPr>
          <w:p>
            <w:r/>
            <w:r>
              <w:rPr>
                <w:sz w:val="19"/>
              </w:rPr>
              <w:t>Token</w:t>
            </w:r>
          </w:p>
        </w:tc>
        <w:tc>
          <w:tcPr>
            <w:tcW w:type="dxa" w:w="4320"/>
          </w:tcPr>
          <w:p>
            <w:r/>
            <w:r>
              <w:rPr>
                <w:sz w:val="19"/>
              </w:rPr>
              <w:t>Roughly one word of AI input or output. The model's demand driver.</w:t>
            </w:r>
          </w:p>
        </w:tc>
      </w:tr>
      <w:tr>
        <w:tc>
          <w:tcPr>
            <w:tcW w:type="dxa" w:w="4320"/>
          </w:tcPr>
          <w:p>
            <w:r/>
            <w:r>
              <w:rPr>
                <w:sz w:val="19"/>
              </w:rPr>
              <w:t>Power vs energy</w:t>
            </w:r>
          </w:p>
        </w:tc>
        <w:tc>
          <w:tcPr>
            <w:tcW w:type="dxa" w:w="4320"/>
          </w:tcPr>
          <w:p>
            <w:r/>
            <w:r>
              <w:rPr>
                <w:sz w:val="19"/>
              </w:rPr>
              <w:t>Power (gigawatts, GW) is the instantaneous draw — what the grid must supply. Energy (GWh) is power over time. A 1 GW data center uses 24 GWh per day. The thesis is about GW capacity, because that is what is hard to build.</w:t>
            </w:r>
          </w:p>
        </w:tc>
      </w:tr>
      <w:tr>
        <w:tc>
          <w:tcPr>
            <w:tcW w:type="dxa" w:w="4320"/>
          </w:tcPr>
          <w:p>
            <w:r/>
            <w:r>
              <w:rPr>
                <w:sz w:val="19"/>
              </w:rPr>
              <w:t>FLOP</w:t>
            </w:r>
          </w:p>
        </w:tc>
        <w:tc>
          <w:tcPr>
            <w:tcW w:type="dxa" w:w="4320"/>
          </w:tcPr>
          <w:p>
            <w:r/>
            <w:r>
              <w:rPr>
                <w:sz w:val="19"/>
              </w:rPr>
              <w:t>One floating-point operation. The actual unit of compute work.</w:t>
            </w:r>
          </w:p>
        </w:tc>
      </w:tr>
      <w:tr>
        <w:tc>
          <w:tcPr>
            <w:tcW w:type="dxa" w:w="4320"/>
          </w:tcPr>
          <w:p>
            <w:r/>
            <w:r>
              <w:rPr>
                <w:sz w:val="19"/>
              </w:rPr>
              <w:t>FLOPs per token (2N)</w:t>
            </w:r>
          </w:p>
        </w:tc>
        <w:tc>
          <w:tcPr>
            <w:tcW w:type="dxa" w:w="4320"/>
          </w:tcPr>
          <w:p>
            <w:r/>
            <w:r>
              <w:rPr>
                <w:sz w:val="19"/>
              </w:rPr>
              <w:t>A token costs about 2 × N floating-point operations to generate, where N is the number of active parameters in the model. Training a model costs about 6N per token (forward + backward pass).</w:t>
            </w:r>
          </w:p>
        </w:tc>
      </w:tr>
      <w:tr>
        <w:tc>
          <w:tcPr>
            <w:tcW w:type="dxa" w:w="4320"/>
          </w:tcPr>
          <w:p>
            <w:r/>
            <w:r>
              <w:rPr>
                <w:sz w:val="19"/>
              </w:rPr>
              <w:t>N (active parameters)</w:t>
            </w:r>
          </w:p>
        </w:tc>
        <w:tc>
          <w:tcPr>
            <w:tcW w:type="dxa" w:w="4320"/>
          </w:tcPr>
          <w:p>
            <w:r/>
            <w:r>
              <w:rPr>
                <w:sz w:val="19"/>
              </w:rPr>
              <w:t>The size of the model actually doing the work. For a sparse "mixture of experts" model, only the activated experts count, not the full parameter total. A token's power cost varies ~50x across model sizes.</w:t>
            </w:r>
          </w:p>
        </w:tc>
      </w:tr>
      <w:tr>
        <w:tc>
          <w:tcPr>
            <w:tcW w:type="dxa" w:w="4320"/>
          </w:tcPr>
          <w:p>
            <w:r/>
            <w:r>
              <w:rPr>
                <w:sz w:val="19"/>
              </w:rPr>
              <w:t>TFLOP/W (chip efficiency)</w:t>
            </w:r>
          </w:p>
        </w:tc>
        <w:tc>
          <w:tcPr>
            <w:tcW w:type="dxa" w:w="4320"/>
          </w:tcPr>
          <w:p>
            <w:r/>
            <w:r>
              <w:rPr>
                <w:sz w:val="19"/>
              </w:rPr>
              <w:t>Trillions of operations per watt — how much compute a chip delivers per unit of electricity. Rises as silicon improves (Blackwell → Rubin), assumed to go from ~9 (2025) to ~60 (2042).</w:t>
            </w:r>
          </w:p>
        </w:tc>
      </w:tr>
      <w:tr>
        <w:tc>
          <w:tcPr>
            <w:tcW w:type="dxa" w:w="4320"/>
          </w:tcPr>
          <w:p>
            <w:r/>
            <w:r>
              <w:rPr>
                <w:sz w:val="19"/>
              </w:rPr>
              <w:t>MFU</w:t>
            </w:r>
          </w:p>
        </w:tc>
        <w:tc>
          <w:tcPr>
            <w:tcW w:type="dxa" w:w="4320"/>
          </w:tcPr>
          <w:p>
            <w:r/>
            <w:r>
              <w:rPr>
                <w:sz w:val="19"/>
              </w:rPr>
              <w:t>Model FLOPs Utilization — the fraction of a chip's peak speed actually achieved (~20-50%). It cancels out in the 2025 re-anchor, so a constant MFU does not move the curve.</w:t>
            </w:r>
          </w:p>
        </w:tc>
      </w:tr>
      <w:tr>
        <w:tc>
          <w:tcPr>
            <w:tcW w:type="dxa" w:w="4320"/>
          </w:tcPr>
          <w:p>
            <w:r/>
            <w:r>
              <w:rPr>
                <w:sz w:val="19"/>
              </w:rPr>
              <w:t>PUE</w:t>
            </w:r>
          </w:p>
        </w:tc>
        <w:tc>
          <w:tcPr>
            <w:tcW w:type="dxa" w:w="4320"/>
          </w:tcPr>
          <w:p>
            <w:r/>
            <w:r>
              <w:rPr>
                <w:sz w:val="19"/>
              </w:rPr>
              <w:t>Power Usage Effectiveness — facility overhead (cooling, power conversion). A PUE of 1.4 means 40% extra power on top of the chips.</w:t>
            </w:r>
          </w:p>
        </w:tc>
      </w:tr>
      <w:tr>
        <w:tc>
          <w:tcPr>
            <w:tcW w:type="dxa" w:w="4320"/>
          </w:tcPr>
          <w:p>
            <w:r/>
            <w:r>
              <w:rPr>
                <w:sz w:val="19"/>
              </w:rPr>
              <w:t>Utilization</w:t>
            </w:r>
          </w:p>
        </w:tc>
        <w:tc>
          <w:tcPr>
            <w:tcW w:type="dxa" w:w="4320"/>
          </w:tcPr>
          <w:p>
            <w:r/>
            <w:r>
              <w:rPr>
                <w:sz w:val="19"/>
              </w:rPr>
              <w:t>The share of all deployed AI chips actively computing at any moment (~12%). Dividing by it scales active power up to total fleet power.</w:t>
            </w:r>
          </w:p>
        </w:tc>
      </w:tr>
      <w:tr>
        <w:tc>
          <w:tcPr>
            <w:tcW w:type="dxa" w:w="4320"/>
          </w:tcPr>
          <w:p>
            <w:r/>
            <w:r>
              <w:rPr>
                <w:sz w:val="19"/>
              </w:rPr>
              <w:t>Anchor (70 GW)</w:t>
            </w:r>
          </w:p>
        </w:tc>
        <w:tc>
          <w:tcPr>
            <w:tcW w:type="dxa" w:w="4320"/>
          </w:tcPr>
          <w:p>
            <w:r/>
            <w:r>
              <w:rPr>
                <w:sz w:val="19"/>
              </w:rPr>
              <w:t>The measured total data-center power in 2025, used to calibrate the model. Everything is expressed relative to this, so the messy physics (MFU, PUE) cancels and only relative change matters.</w:t>
            </w:r>
          </w:p>
        </w:tc>
      </w:tr>
      <w:tr>
        <w:tc>
          <w:tcPr>
            <w:tcW w:type="dxa" w:w="4320"/>
          </w:tcPr>
          <w:p>
            <w:r/>
            <w:r>
              <w:rPr>
                <w:sz w:val="19"/>
              </w:rPr>
              <w:t>Gap</w:t>
            </w:r>
          </w:p>
        </w:tc>
        <w:tc>
          <w:tcPr>
            <w:tcW w:type="dxa" w:w="4320"/>
          </w:tcPr>
          <w:p>
            <w:r/>
            <w:r>
              <w:rPr>
                <w:sz w:val="19"/>
              </w:rPr>
              <w:t>Demand minus supply, in GW. Positive = shortage = pricing power for power / grid / cooling suppliers. Negative = oversupply.</w:t>
            </w:r>
          </w:p>
        </w:tc>
      </w:tr>
      <w:tr>
        <w:tc>
          <w:tcPr>
            <w:tcW w:type="dxa" w:w="4320"/>
          </w:tcPr>
          <w:p>
            <w:r/>
            <w:r>
              <w:rPr>
                <w:sz w:val="19"/>
              </w:rPr>
              <w:t>Peak / balance / overshoot</w:t>
            </w:r>
          </w:p>
        </w:tc>
        <w:tc>
          <w:tcPr>
            <w:tcW w:type="dxa" w:w="4320"/>
          </w:tcPr>
          <w:p>
            <w:r/>
            <w:r>
              <w:rPr>
                <w:sz w:val="19"/>
              </w:rPr>
              <w:t>Peak = largest gap. Balance = first year the gap falls below 30 GW. Overshoot = first year the gap goes negative (oversupply).</w:t>
            </w:r>
          </w:p>
        </w:tc>
      </w:tr>
      <w:tr>
        <w:tc>
          <w:tcPr>
            <w:tcW w:type="dxa" w:w="4320"/>
          </w:tcPr>
          <w:p>
            <w:r/>
            <w:r>
              <w:rPr>
                <w:sz w:val="19"/>
              </w:rPr>
              <w:t>Monotonic floor / retirement</w:t>
            </w:r>
          </w:p>
        </w:tc>
        <w:tc>
          <w:tcPr>
            <w:tcW w:type="dxa" w:w="4320"/>
          </w:tcPr>
          <w:p>
            <w:r/>
            <w:r>
              <w:rPr>
                <w:sz w:val="19"/>
              </w:rPr>
              <w:t>Whether deployed capacity is ever torn down. The floor (retirement = 0) holds demand flat once built (plateau); higher retirement lets demand decline (cliff).</w:t>
            </w:r>
          </w:p>
        </w:tc>
      </w:tr>
      <w:tr>
        <w:tc>
          <w:tcPr>
            <w:tcW w:type="dxa" w:w="4320"/>
          </w:tcPr>
          <w:p>
            <w:r/>
            <w:r>
              <w:rPr>
                <w:sz w:val="19"/>
              </w:rPr>
              <w:t>Routing / orchestration</w:t>
            </w:r>
          </w:p>
        </w:tc>
        <w:tc>
          <w:tcPr>
            <w:tcW w:type="dxa" w:w="4320"/>
          </w:tcPr>
          <w:p>
            <w:r/>
            <w:r>
              <w:rPr>
                <w:sz w:val="19"/>
              </w:rPr>
              <w:t>Sending easy queries to smaller, cheaper models. It lowers N (FLOPs per token) without changing the token count — an efficiency a token-only model cannot see, but the FLOPs lens captures.</w:t>
            </w:r>
          </w:p>
        </w:tc>
      </w:tr>
      <w:tr>
        <w:tc>
          <w:tcPr>
            <w:tcW w:type="dxa" w:w="4320"/>
          </w:tcPr>
          <w:p>
            <w:r/>
            <w:r>
              <w:rPr>
                <w:sz w:val="19"/>
              </w:rPr>
              <w:t>Agentic demand</w:t>
            </w:r>
          </w:p>
        </w:tc>
        <w:tc>
          <w:tcPr>
            <w:tcW w:type="dxa" w:w="4320"/>
          </w:tcPr>
          <w:p>
            <w:r/>
            <w:r>
              <w:rPr>
                <w:sz w:val="19"/>
              </w:rPr>
              <w:t>Reasoning models and multi-agent workflows that generate many more tokens per task. This is a token-count effect (it raises power via more tokens), captured in the Excel's enterprise agent multiplier.</w:t>
            </w:r>
          </w:p>
        </w:tc>
      </w:tr>
      <w:tr>
        <w:tc>
          <w:tcPr>
            <w:tcW w:type="dxa" w:w="4320"/>
          </w:tcPr>
          <w:p>
            <w:r/>
            <w:r>
              <w:rPr>
                <w:sz w:val="19"/>
              </w:rPr>
              <w:t>Duration lens</w:t>
            </w:r>
          </w:p>
        </w:tc>
        <w:tc>
          <w:tcPr>
            <w:tcW w:type="dxa" w:w="4320"/>
          </w:tcPr>
          <w:p>
            <w:r/>
            <w:r>
              <w:rPr>
                <w:sz w:val="19"/>
              </w:rPr>
              <w:t>The FLOPs view of the model. Not a higher peak, but a higher demand floor and a later gap-close — the case for a longer-lived power thesis.</w:t>
            </w:r>
          </w:p>
        </w:tc>
      </w:tr>
    </w:tbl>
    <w:p>
      <w:pPr>
        <w:pStyle w:val="Heading1"/>
      </w:pPr>
      <w:r>
        <w:rPr>
          <w:color w:val="2C3E50"/>
        </w:rPr>
        <w:t>5.  How the major assumptions were projected</w:t>
      </w:r>
    </w:p>
    <w:p>
      <w:pPr>
        <w:pStyle w:val="Heading2"/>
      </w:pPr>
      <w:r>
        <w:rPr>
          <w:color w:val="2C3E50"/>
        </w:rPr>
        <w:t>Token demand</w:t>
      </w:r>
    </w:p>
    <w:p>
      <w:r>
        <w:rPr>
          <w:i w:val="0"/>
          <w:color w:val="1A1A1A"/>
          <w:sz w:val="21"/>
        </w:rPr>
        <w:t>Tokens come from the existing build-out forecast (Base sheet), driven by AI user counts, per-user intensity, an enterprise agent multiplier, and a robotics contribution. Gross tokens grow from about 135 trillion per day in 2025 to roughly 23,790 trillion in 2042 (~176x). This is an S-curve: explosive early, decelerating later as AI saturates.</w:t>
      </w:r>
    </w:p>
    <w:p>
      <w:pPr>
        <w:pStyle w:val="Heading2"/>
      </w:pPr>
      <w:r>
        <w:rPr>
          <w:color w:val="2C3E50"/>
        </w:rPr>
        <w:t>The 70 GW anchor</w:t>
      </w:r>
    </w:p>
    <w:p>
      <w:r>
        <w:rPr>
          <w:i w:val="0"/>
          <w:color w:val="1A1A1A"/>
          <w:sz w:val="21"/>
        </w:rPr>
        <w:t>2025 total data-center power is anchored at 70 GW — the mid-point of public estimates (JLL, Cushman &amp; Wakefield, Goldman Sachs, McKinsey). Calibrating to a measured number lets the model track relative change and sidestep fragile absolute physics.</w:t>
      </w:r>
    </w:p>
    <w:p>
      <w:pPr>
        <w:pStyle w:val="Heading2"/>
      </w:pPr>
      <w:r>
        <w:rPr>
          <w:color w:val="2C3E50"/>
        </w:rPr>
        <w:t>Efficiency — the two engines</w:t>
      </w:r>
    </w:p>
    <w:p>
      <w:r>
        <w:rPr>
          <w:i w:val="0"/>
          <w:color w:val="1A1A1A"/>
          <w:sz w:val="21"/>
        </w:rPr>
        <w:t>Power demand is a tug-of-war: tokens push it up, efficiency pulls it down. Efficiency has two separate engines, which the FLOPs lens deliberately keeps apart:</w:t>
      </w:r>
    </w:p>
    <w:p>
      <w:pPr>
        <w:pStyle w:val="ListBullet"/>
      </w:pPr>
      <w:r>
        <w:rPr>
          <w:b/>
          <w:color w:val="1A1A1A"/>
          <w:sz w:val="21"/>
        </w:rPr>
        <w:t xml:space="preserve">Hardware (TFLOP/W). </w:t>
      </w:r>
      <w:r>
        <w:rPr>
          <w:color w:val="1A1A1A"/>
          <w:sz w:val="21"/>
        </w:rPr>
        <w:t>Chip performance per watt, assumed to improve ~6-7x by 2042 — an aggressive but defensible read of the Blackwell → Rubin → next roadmap.</w:t>
      </w:r>
    </w:p>
    <w:p>
      <w:pPr>
        <w:pStyle w:val="ListBullet"/>
      </w:pPr>
      <w:r>
        <w:rPr>
          <w:b/>
          <w:color w:val="1A1A1A"/>
          <w:sz w:val="21"/>
        </w:rPr>
        <w:t xml:space="preserve">Model size / routing (N). </w:t>
      </w:r>
      <w:r>
        <w:rPr>
          <w:color w:val="1A1A1A"/>
          <w:sz w:val="21"/>
        </w:rPr>
        <w:t>Average active parameters fall ~3x as work routes to smaller models. Combined physical efficiency is therefore ~19x by 2040.</w:t>
      </w:r>
    </w:p>
    <w:p>
      <w:r>
        <w:rPr>
          <w:i w:val="0"/>
          <w:color w:val="1A1A1A"/>
          <w:sz w:val="21"/>
        </w:rPr>
        <w:t>This ~19x is the crux. The original token model implied ~122x efficiency by 2040 — only reachable by also banking algorithmic gains. But algorithmic gains historically get spent on more capability and more tokens (the Jevons effect), not on lower power. For a power forecast the honest denominator is the ~19x physical figure, which is why the FLOPs lens shows a higher floor and longer tightness.</w:t>
      </w:r>
    </w:p>
    <w:p>
      <w:pPr>
        <w:pStyle w:val="Heading2"/>
      </w:pPr>
      <w:r>
        <w:rPr>
          <w:color w:val="2C3E50"/>
        </w:rPr>
        <w:t>Supply build pace</w:t>
      </w:r>
    </w:p>
    <w:p>
      <w:r>
        <w:rPr>
          <w:i w:val="0"/>
          <w:color w:val="1A1A1A"/>
          <w:sz w:val="21"/>
        </w:rPr>
        <w:t>Supply starts at the 70 GW anchor and compounds at phase rates — about 22%/yr (2026-27), 30% (2028-30), 25% (2031-35), 15% (2036-42) — reflecting transformer, turbine, and grid-queue lead times. Slower build widens the gap; these rates are editable on the Operating Model tab.</w:t>
      </w:r>
    </w:p>
    <w:p>
      <w:pPr>
        <w:pStyle w:val="Heading2"/>
      </w:pPr>
      <w:r>
        <w:rPr>
          <w:color w:val="2C3E50"/>
        </w:rPr>
        <w:t>What was deliberately rejected</w:t>
      </w:r>
    </w:p>
    <w:p>
      <w:r>
        <w:rPr>
          <w:i w:val="0"/>
          <w:color w:val="1A1A1A"/>
          <w:sz w:val="21"/>
        </w:rPr>
        <w:t>An expert review proposed lifting the enterprise agent multiplier from ~15x to ~180x by 2040 to capture agentic demand. This was rejected as structurally impossible: a blended multiplier that high implies more than 100% of tasks are agentic. Demand was kept on the existing forecast (enterprise carries the agent multiplier; consumers do not). The realistic future upgrade is an explicit penetration × intensity model, where adoption is capped at 100%.</w:t>
      </w:r>
    </w:p>
    <w:p>
      <w:pPr>
        <w:pStyle w:val="Heading2"/>
      </w:pPr>
      <w:r>
        <w:rPr>
          <w:color w:val="2C3E50"/>
        </w:rPr>
        <w:t>Bull / Base / Bear</w:t>
      </w:r>
    </w:p>
    <w:p>
      <w:r>
        <w:rPr>
          <w:i w:val="0"/>
          <w:color w:val="1A1A1A"/>
          <w:sz w:val="21"/>
        </w:rPr>
        <w:t>The three scenarios flex the same five levers in opposite directions. Bull assumes slower efficiency gains and a slower build (power stays high and long); Bear assumes faster efficiency, faster build, and some retirement (power rolls over early). Base is the committed FLOPs lens. The spread — roughly 120 to 525 GW peak gap — is the honest range of outcomes to reason about.</w:t>
      </w:r>
    </w:p>
    <w:p>
      <w:pPr>
        <w:pStyle w:val="Heading1"/>
      </w:pPr>
      <w:r>
        <w:rPr>
          <w:color w:val="2C3E50"/>
        </w:rPr>
        <w:t>6.  A note on trust</w:t>
      </w:r>
    </w:p>
    <w:p>
      <w:r>
        <w:rPr>
          <w:i/>
          <w:color w:val="1A1A1A"/>
          <w:sz w:val="21"/>
        </w:rPr>
        <w:t>Every formula in the workbook's power tabs has been independently re-evaluated and ties out to its displayed value, and the committed base case is fingerprint-locked so accidental drift is caught. The absolute GW levels are anchored estimates — trust the shape and timing (when the gap peaks, when it closes) more than any single year's exact GW. The point of the model is not a precise number; it is a defensible framework for diving into the assumptions and dimensioning the most likely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