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C3E50"/>
          <w:sz w:val="52"/>
        </w:rPr>
        <w:t>AI Power-Demand Model</w:t>
      </w:r>
    </w:p>
    <w:p>
      <w:pPr>
        <w:jc w:val="center"/>
      </w:pPr>
      <w:r>
        <w:rPr>
          <w:color w:val="606A78"/>
          <w:sz w:val="26"/>
        </w:rPr>
        <w:t>A Reader's Guide: How It Works, What the Numbers Mean,</w:t>
        <w:br/>
        <w:t>and Why Every Assumption Is Set Where It Is</w:t>
      </w:r>
    </w:p>
    <w:p>
      <w:pPr>
        <w:jc w:val="center"/>
      </w:pPr>
      <w:r>
        <w:rPr>
          <w:color w:val="606A78"/>
          <w:sz w:val="20"/>
        </w:rPr>
        <w:t>Peckham Capital  ·  AI Infrastructure Supply Chain  ·  June 2026</w:t>
      </w:r>
    </w:p>
    <w:p>
      <w:r>
        <w:rPr>
          <w:i w:val="0"/>
          <w:color w:val="1A1A1A"/>
          <w:sz w:val="21"/>
        </w:rPr>
      </w:r>
    </w:p>
    <w:p>
      <w:pPr>
        <w:pStyle w:val="Heading1"/>
      </w:pPr>
      <w:r>
        <w:rPr>
          <w:color w:val="2C3E50"/>
        </w:rPr>
        <w:t>1.  What this model does, in one minute</w:t>
      </w:r>
    </w:p>
    <w:p>
      <w:r>
        <w:rPr>
          <w:i w:val="0"/>
          <w:color w:val="1A1A1A"/>
          <w:sz w:val="21"/>
        </w:rPr>
        <w:t>This model answers two questions for the AI-infrastructure thesis: how large does data-center power demand become, and how long does the resulting shortage (the “gap”) last. It starts from a forecast of AI token usage, converts those tokens into electrical power in gigawatts (GW), compares that demand against the pace at which power and grid capacity can physically be built, and reports the gap year by year to 2042.</w:t>
      </w:r>
    </w:p>
    <w:p>
      <w:r>
        <w:rPr>
          <w:i w:val="0"/>
          <w:color w:val="1A1A1A"/>
          <w:sz w:val="21"/>
        </w:rPr>
        <w:t>It carries two lenses on the same engine:</w:t>
      </w:r>
    </w:p>
    <w:p>
      <w:pPr>
        <w:pStyle w:val="ListBullet"/>
      </w:pPr>
      <w:r>
        <w:rPr>
          <w:b/>
          <w:color w:val="1A1A1A"/>
          <w:sz w:val="21"/>
        </w:rPr>
        <w:t xml:space="preserve">Token base (the committed headline). </w:t>
      </w:r>
      <w:r>
        <w:rPr>
          <w:color w:val="1A1A1A"/>
          <w:sz w:val="21"/>
        </w:rPr>
        <w:t>Peak gap 332 GW in 2029; demand plateaus near 549 GW; the gap closes around 2034. This is the locked base case.</w:t>
      </w:r>
    </w:p>
    <w:p>
      <w:pPr>
        <w:pStyle w:val="ListBullet"/>
      </w:pPr>
      <w:r>
        <w:rPr>
          <w:b/>
          <w:color w:val="1A1A1A"/>
          <w:sz w:val="21"/>
        </w:rPr>
        <w:t xml:space="preserve">FLOPs / Duration lens. </w:t>
      </w:r>
      <w:r>
        <w:rPr>
          <w:color w:val="1A1A1A"/>
          <w:sz w:val="21"/>
        </w:rPr>
        <w:t>A physically honest re-derivation. Slightly lower peak (278 GW in 2031) but a materially higher demand floor (708 GW vs 549) and a later close (~2036). Its message is duration, not magnitude.</w:t>
      </w:r>
    </w:p>
    <w:p>
      <w:r>
        <w:rPr>
          <w:i w:val="0"/>
          <w:color w:val="1A1A1A"/>
          <w:sz w:val="21"/>
        </w:rPr>
        <w:t>Across both lenses, cumulative power-and-grid capital spending to 2042 is about $8.4 trillion. Gross AI tokens grow from ~135 trillion per day in 2025 to ~23,790 trillion in 2042 — roughly 176x.</w:t>
      </w:r>
    </w:p>
    <w:p>
      <w:r>
        <w:rPr>
          <w:i/>
          <w:color w:val="1A1A1A"/>
          <w:sz w:val="21"/>
        </w:rPr>
        <w:t>The Excel workbook is where you read and stress-test; the dashboard is where you explore interactively. The rest of this guide makes every number tangible and explains where it came from.</w:t>
      </w:r>
    </w:p>
    <w:p>
      <w:pPr>
        <w:pStyle w:val="Heading1"/>
      </w:pPr>
      <w:r>
        <w:rPr>
          <w:color w:val="2C3E50"/>
        </w:rPr>
        <w:t>2.  The big picture in real-world terms</w:t>
      </w:r>
    </w:p>
    <w:p>
      <w:pPr>
        <w:pStyle w:val="Heading2"/>
      </w:pPr>
      <w:r>
        <w:rPr>
          <w:color w:val="2C3E50"/>
        </w:rPr>
        <w:t>2.1  What 70 GW — today's installed base — actually is</w:t>
      </w:r>
    </w:p>
    <w:p>
      <w:r>
        <w:rPr>
          <w:i w:val="0"/>
          <w:color w:val="1A1A1A"/>
          <w:sz w:val="21"/>
        </w:rPr>
        <w:t>The model anchors 2025 total data-center power at 70 GW. This is total DC draw — all workloads globally, not AI alone — because the bottleneck layers the thesis trades (generation, transformers, grid interconnect, electrical steel) serve all data-center load, so the honest denominator is total capacity. To make 70 GW tangible:</w:t>
      </w:r>
    </w:p>
    <w:p>
      <w:pPr>
        <w:pStyle w:val="ListBullet"/>
      </w:pPr>
      <w:r>
        <w:rPr>
          <w:b/>
          <w:color w:val="1A1A1A"/>
          <w:sz w:val="21"/>
        </w:rPr>
        <w:t xml:space="preserve">As facilities: </w:t>
      </w:r>
      <w:r>
        <w:rPr>
          <w:color w:val="1A1A1A"/>
          <w:sz w:val="21"/>
        </w:rPr>
        <w:t>a large hyperscale data center is ~50–150 MW; the new flagship AI campuses (Stargate Abilene, Meta Hyperion, xAI Colossus) run 300 MW to multiple GW. 70 GW is on the order of 500–1,000 conventional large data centers, or a few hundred AI-scale campuses.</w:t>
      </w:r>
    </w:p>
    <w:p>
      <w:pPr>
        <w:pStyle w:val="ListBullet"/>
      </w:pPr>
      <w:r>
        <w:rPr>
          <w:b/>
          <w:color w:val="1A1A1A"/>
          <w:sz w:val="21"/>
        </w:rPr>
        <w:t xml:space="preserve">Versus the US grid: </w:t>
      </w:r>
      <w:r>
        <w:rPr>
          <w:color w:val="1A1A1A"/>
          <w:sz w:val="21"/>
        </w:rPr>
        <w:t>US summer generating capacity is ~1,200 GW (after a record 53 GW added in 2025). So 70 GW of global DC load is already ~6% of all US generating capacity — and that is just the current base, before any growth.</w:t>
      </w:r>
    </w:p>
    <w:p>
      <w:pPr>
        <w:pStyle w:val="ListBullet"/>
      </w:pPr>
      <w:r>
        <w:rPr>
          <w:b/>
          <w:color w:val="1A1A1A"/>
          <w:sz w:val="21"/>
        </w:rPr>
        <w:t xml:space="preserve">Versus a city: </w:t>
      </w:r>
      <w:r>
        <w:rPr>
          <w:color w:val="1A1A1A"/>
          <w:sz w:val="21"/>
        </w:rPr>
        <w:t>New York City's summer peak is ~10–11 GW. 70 GW is six-to-seven New York Cities of continuous draw — and a data center runs at ~85–90% load factor (always on) versus a city's ~55%, so its energy footprint per GW is far heavier.</w:t>
      </w:r>
    </w:p>
    <w:p>
      <w:r>
        <w:rPr>
          <w:i w:val="0"/>
          <w:color w:val="1A1A1A"/>
          <w:sz w:val="21"/>
        </w:rPr>
        <w:t>The 70 GW anchor is the mid-point of five independent estimates: Cushman &amp; Wakefield (63 GW in 2024, ~70–72 rolled forward), JLL (~72), Goldman Sachs (65 + 90 under construction), McKinsey (~70), and DCD (~68). They cluster tightly at 65–72 GW. AI is ~25% of new builds in 2025 rising to ~50% by 2030, and the buyers are concentrated — four US hyperscalers plus the neoclouds account for the bulk of incremental AI power. That concentration is the thesis's friend: a handful of deep-pocketed buyers competing for the same scarce transformers and turbines is exactly what lets the bottleneck owners capture rent.</w:t>
      </w:r>
    </w:p>
    <w:p>
      <w:pPr>
        <w:pStyle w:val="Heading2"/>
      </w:pPr>
      <w:r>
        <w:rPr>
          <w:color w:val="2C3E50"/>
        </w:rPr>
        <w:t>2.2  What the shortage means</w:t>
      </w:r>
    </w:p>
    <w:p>
      <w:r>
        <w:rPr>
          <w:i w:val="0"/>
          <w:color w:val="1A1A1A"/>
          <w:sz w:val="21"/>
        </w:rPr>
        <w:t>The headline is a peak shortfall of 332 GW (token lens, 2029) or 278 GW (FLOPs lens, 2031) — the gap between where demand wants to be and what the supply chain can energize. In tangible terms:</w:t>
      </w:r>
    </w:p>
    <w:p>
      <w:pPr>
        <w:pStyle w:val="ListBullet"/>
      </w:pPr>
      <w:r>
        <w:rPr>
          <w:b/>
          <w:color w:val="1A1A1A"/>
          <w:sz w:val="21"/>
        </w:rPr>
        <w:t xml:space="preserve">Nuclear-reactor equivalents: </w:t>
      </w:r>
      <w:r>
        <w:rPr>
          <w:color w:val="1A1A1A"/>
          <w:sz w:val="21"/>
        </w:rPr>
        <w:t>a large reactor is ~1 GW. A ~300 GW gap is ~300 reactors' worth of power. The entire US nuclear fleet is ~94 reactors / ~97 GW — so the gap is roughly three times the entire US nuclear fleet, to appear in ~4 years.</w:t>
      </w:r>
    </w:p>
    <w:p>
      <w:pPr>
        <w:pStyle w:val="ListBullet"/>
      </w:pPr>
      <w:r>
        <w:rPr>
          <w:b/>
          <w:color w:val="1A1A1A"/>
          <w:sz w:val="21"/>
        </w:rPr>
        <w:t xml:space="preserve">Gas-turbine equivalents: </w:t>
      </w:r>
      <w:r>
        <w:rPr>
          <w:color w:val="1A1A1A"/>
          <w:sz w:val="21"/>
        </w:rPr>
        <w:t>a modern combined-cycle block is ~0.5–1.0 GW, so ~300 GW is 300–600 utility-scale turbines. GE Vernova's heavy-duty turbine slots are already booked past 2028 and being rationed.</w:t>
      </w:r>
    </w:p>
    <w:p>
      <w:pPr>
        <w:pStyle w:val="ListBullet"/>
      </w:pPr>
      <w:r>
        <w:rPr>
          <w:b/>
          <w:color w:val="1A1A1A"/>
          <w:sz w:val="21"/>
        </w:rPr>
        <w:t xml:space="preserve">Versus US generation: </w:t>
      </w:r>
      <w:r>
        <w:rPr>
          <w:color w:val="1A1A1A"/>
          <w:sz w:val="21"/>
        </w:rPr>
        <w:t>~300 GW is ~24–25% of total US summer capacity — the unmet portion alone is a quarter of everything the US has ever built.</w:t>
      </w:r>
    </w:p>
    <w:p>
      <w:r>
        <w:rPr>
          <w:i/>
          <w:color w:val="1A1A1A"/>
          <w:sz w:val="21"/>
        </w:rPr>
        <w:t>The key reframing: the model is not forecasting that the gap gets built. It is forecasting that it does not — and that the inability to build it is precisely what creates multi-year pricing power for the names that own the bottleneck nodes.</w:t>
      </w:r>
    </w:p>
    <w:p>
      <w:pPr>
        <w:pStyle w:val="Heading2"/>
      </w:pPr>
      <w:r>
        <w:rPr>
          <w:color w:val="2C3E50"/>
        </w:rPr>
        <w:t>2.3  Why it is physically tight — the four walls</w:t>
      </w:r>
    </w:p>
    <w:p>
      <w:r>
        <w:rPr>
          <w:i w:val="0"/>
          <w:color w:val="1A1A1A"/>
          <w:sz w:val="21"/>
        </w:rPr>
        <w:t>The gap is not a financing problem (the hyperscalers have the cash); it is a physics-and-fabrication problem. Four hard walls, all corroborated in current data:</w:t>
      </w:r>
    </w:p>
    <w:p>
      <w:pPr>
        <w:pStyle w:val="ListNumber"/>
      </w:pPr>
      <w:r>
        <w:rPr>
          <w:color w:val="1A1A1A"/>
          <w:sz w:val="21"/>
        </w:rPr>
        <w:t>Grid interconnect queue. Average US wait has gone from under 2 years in 2008 to ~5 years today. In December 2025 PJM — serving 65M people — for the first time in its history failed to procure enough capacity, coming up ~6,625 MW short. Owning a turbine is not the same as being allowed to plug it in.</w:t>
      </w:r>
    </w:p>
    <w:p>
      <w:pPr>
        <w:pStyle w:val="ListNumber"/>
      </w:pPr>
      <w:r>
        <w:rPr>
          <w:color w:val="1A1A1A"/>
          <w:sz w:val="21"/>
        </w:rPr>
        <w:t>Large power transformers. Lead times have stretched to 100–210 weeks. The US imports most of its transformers; new domestic capacity (Hitachi Virginia 2028, Siemens Charlotte 2027) arrives after the peak-gap years.</w:t>
      </w:r>
    </w:p>
    <w:p>
      <w:pPr>
        <w:pStyle w:val="ListNumber"/>
      </w:pPr>
      <w:r>
        <w:rPr>
          <w:color w:val="1A1A1A"/>
          <w:sz w:val="21"/>
        </w:rPr>
        <w:t>Grain-oriented electrical steel (GOES). Every transformer needs it; there is one US producer (Cleveland-Cliffs). Expansion is physics-limited. This is upstream of the entire grid.</w:t>
      </w:r>
    </w:p>
    <w:p>
      <w:pPr>
        <w:pStyle w:val="ListNumber"/>
      </w:pPr>
      <w:r>
        <w:rPr>
          <w:color w:val="1A1A1A"/>
          <w:sz w:val="21"/>
        </w:rPr>
        <w:t>Gas turbines and skilled electrical labor. Turbine slots are rationed to 2028+. Microsoft's President called skilled electrical labor the “#1 problem” in March 2026 — a 4–5 year apprenticeship that no capex can shortcut. Likely the last binding constraint to clear.</w:t>
      </w:r>
    </w:p>
    <w:p>
      <w:r>
        <w:rPr>
          <w:i w:val="0"/>
          <w:color w:val="1A1A1A"/>
          <w:sz w:val="21"/>
        </w:rPr>
        <w:t>For scale: US generating capacity has grown ~1–3%/yr for two decades. The model asks the global fleet to compound at 22–30%/yr through 2030 — several multiples of the fastest year in US grid history, globally and simultaneously, across a supply chain already at 95%+ utilization at multiple sole-source nodes.</w:t>
      </w:r>
    </w:p>
    <w:p>
      <w:pPr>
        <w:pStyle w:val="Heading2"/>
      </w:pPr>
      <w:r>
        <w:rPr>
          <w:color w:val="2C3E50"/>
        </w:rPr>
        <w:t>2.4  Utilization (~12%) and latent capacity</w:t>
      </w:r>
    </w:p>
    <w:p>
      <w:r>
        <w:rPr>
          <w:i w:val="0"/>
          <w:color w:val="1A1A1A"/>
          <w:sz w:val="21"/>
        </w:rPr>
        <w:t>The model sets inference utilization at 12% (2025) rising to 25% (2035). This answers the obvious objection — “if all these GPUs are deployed, why isn't power even higher?” — because at any instant only a fraction of the fleet is doing revenue inference. The other ~88% is training and post-training, latency headroom (interactive inference must be provisioned for peak concurrent load, like a grid sized for the August 5pm peak), diurnal/batch troughs (idle GPUs still draw 30–50% of their power), redundancy and reserved capacity, and just-installed silicon not yet loaded. This is the same economics as airline load factors and cloud CPU (famously ~15–20%).</w:t>
      </w:r>
    </w:p>
    <w:p>
      <w:r>
        <w:rPr>
          <w:i w:val="0"/>
          <w:color w:val="1A1A1A"/>
          <w:sz w:val="21"/>
        </w:rPr>
        <w:t>The latent capacity splits in two. Reclaimable: batch-shiftable training, off-peak inference, and better scheduling (continuous batching, disaggregated prefill/decode) can lift effective utilization — which is exactly what the 12% → 25% path assumes (roughly a doubling). Structurally stranded: the peak-provisioning and latency headroom cannot be reclaimed without breaking the product — you will never run interactive inference at 80% average. So the 25% terminal figure concedes that ~75% of the fleet stays non-revenue even in 2035. Crucially, rising utilization is a bearish force on power-per-token, and the model already bakes in a doubling of it; faster gains flex demand down — a genuine downside lever, and part of why the bear case exists.</w:t>
      </w:r>
    </w:p>
    <w:p>
      <w:pPr>
        <w:pStyle w:val="Heading2"/>
      </w:pPr>
      <w:r>
        <w:rPr>
          <w:color w:val="2C3E50"/>
        </w:rPr>
        <w:t>2.5  How much can be optimized away</w:t>
      </w:r>
    </w:p>
    <w:p>
      <w:r>
        <w:rPr>
          <w:i w:val="0"/>
          <w:color w:val="1A1A1A"/>
          <w:sz w:val="21"/>
        </w:rPr>
        <w:t>Five levers reduce power per unit of AI output. The table shows realistic headroom and what is already in the model versus incremental: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Lever</w:t>
            </w:r>
          </w:p>
        </w:tc>
        <w:tc>
          <w:tcPr>
            <w:tcW w:type="dxa" w:w="2160"/>
          </w:tcPr>
          <w:p>
            <w:r/>
            <w:r>
              <w:rPr>
                <w:b/>
                <w:sz w:val="18"/>
              </w:rPr>
              <w:t>Mechanism</w:t>
            </w:r>
          </w:p>
        </w:tc>
        <w:tc>
          <w:tcPr>
            <w:tcW w:type="dxa" w:w="2160"/>
          </w:tcPr>
          <w:p>
            <w:r/>
            <w:r>
              <w:rPr>
                <w:b/>
                <w:sz w:val="18"/>
              </w:rPr>
              <w:t>Realistic headroom</w:t>
            </w:r>
          </w:p>
        </w:tc>
        <w:tc>
          <w:tcPr>
            <w:tcW w:type="dxa" w:w="2160"/>
          </w:tcPr>
          <w:p>
            <w:r/>
            <w:r>
              <w:rPr>
                <w:b/>
                <w:sz w:val="18"/>
              </w:rPr>
              <w:t>In model?</w:t>
            </w:r>
          </w:p>
        </w:tc>
      </w:tr>
      <w:tr>
        <w:tc>
          <w:tcPr>
            <w:tcW w:type="dxa" w:w="2160"/>
          </w:tcPr>
          <w:p>
            <w:r/>
            <w:r>
              <w:rPr>
                <w:sz w:val="17"/>
              </w:rPr>
              <w:t>Hardware perf/W</w:t>
            </w:r>
          </w:p>
        </w:tc>
        <w:tc>
          <w:tcPr>
            <w:tcW w:type="dxa" w:w="2160"/>
          </w:tcPr>
          <w:p>
            <w:r/>
            <w:r>
              <w:rPr>
                <w:sz w:val="17"/>
              </w:rPr>
              <w:t>H100→B200→GB200→Rubin</w:t>
            </w:r>
          </w:p>
        </w:tc>
        <w:tc>
          <w:tcPr>
            <w:tcW w:type="dxa" w:w="2160"/>
          </w:tcPr>
          <w:p>
            <w:r/>
            <w:r>
              <w:rPr>
                <w:sz w:val="17"/>
              </w:rPr>
              <w:t>~6x by 2040 (9→54 TFLOP/W)</w:t>
            </w:r>
          </w:p>
        </w:tc>
        <w:tc>
          <w:tcPr>
            <w:tcW w:type="dxa" w:w="2160"/>
          </w:tcPr>
          <w:p>
            <w:r/>
            <w:r>
              <w:rPr>
                <w:sz w:val="17"/>
              </w:rPr>
              <w:t>Yes — core</w:t>
            </w:r>
          </w:p>
        </w:tc>
      </w:tr>
      <w:tr>
        <w:tc>
          <w:tcPr>
            <w:tcW w:type="dxa" w:w="2160"/>
          </w:tcPr>
          <w:p>
            <w:r/>
            <w:r>
              <w:rPr>
                <w:sz w:val="17"/>
              </w:rPr>
              <w:t>Routing / cascades</w:t>
            </w:r>
          </w:p>
        </w:tc>
        <w:tc>
          <w:tcPr>
            <w:tcW w:type="dxa" w:w="2160"/>
          </w:tcPr>
          <w:p>
            <w:r/>
            <w:r>
              <w:rPr>
                <w:sz w:val="17"/>
              </w:rPr>
              <w:t>Easy tokens → small models</w:t>
            </w:r>
          </w:p>
        </w:tc>
        <w:tc>
          <w:tcPr>
            <w:tcW w:type="dxa" w:w="2160"/>
          </w:tcPr>
          <w:p>
            <w:r/>
            <w:r>
              <w:rPr>
                <w:sz w:val="17"/>
              </w:rPr>
              <w:t>~2.9x (active params 297B→104B)</w:t>
            </w:r>
          </w:p>
        </w:tc>
        <w:tc>
          <w:tcPr>
            <w:tcW w:type="dxa" w:w="2160"/>
          </w:tcPr>
          <w:p>
            <w:r/>
            <w:r>
              <w:rPr>
                <w:sz w:val="17"/>
              </w:rPr>
              <w:t>Yes (FLOPs lens)</w:t>
            </w:r>
          </w:p>
        </w:tc>
      </w:tr>
      <w:tr>
        <w:tc>
          <w:tcPr>
            <w:tcW w:type="dxa" w:w="2160"/>
          </w:tcPr>
          <w:p>
            <w:r/>
            <w:r>
              <w:rPr>
                <w:sz w:val="17"/>
              </w:rPr>
              <w:t>Quantization</w:t>
            </w:r>
          </w:p>
        </w:tc>
        <w:tc>
          <w:tcPr>
            <w:tcW w:type="dxa" w:w="2160"/>
          </w:tcPr>
          <w:p>
            <w:r/>
            <w:r>
              <w:rPr>
                <w:sz w:val="17"/>
              </w:rPr>
              <w:t>FP8 → FP4 → sub-4-bit</w:t>
            </w:r>
          </w:p>
        </w:tc>
        <w:tc>
          <w:tcPr>
            <w:tcW w:type="dxa" w:w="2160"/>
          </w:tcPr>
          <w:p>
            <w:r/>
            <w:r>
              <w:rPr>
                <w:sz w:val="17"/>
              </w:rPr>
              <w:t>~2–4x per step (partly in TFLOP/W)</w:t>
            </w:r>
          </w:p>
        </w:tc>
        <w:tc>
          <w:tcPr>
            <w:tcW w:type="dxa" w:w="2160"/>
          </w:tcPr>
          <w:p>
            <w:r/>
            <w:r>
              <w:rPr>
                <w:sz w:val="17"/>
              </w:rPr>
              <w:t>Partly</w:t>
            </w:r>
          </w:p>
        </w:tc>
      </w:tr>
      <w:tr>
        <w:tc>
          <w:tcPr>
            <w:tcW w:type="dxa" w:w="2160"/>
          </w:tcPr>
          <w:p>
            <w:r/>
            <w:r>
              <w:rPr>
                <w:sz w:val="17"/>
              </w:rPr>
              <w:t>Spec. decoding / MFU</w:t>
            </w:r>
          </w:p>
        </w:tc>
        <w:tc>
          <w:tcPr>
            <w:tcW w:type="dxa" w:w="2160"/>
          </w:tcPr>
          <w:p>
            <w:r/>
            <w:r>
              <w:rPr>
                <w:sz w:val="17"/>
              </w:rPr>
              <w:t>Draft-verify; better kernels</w:t>
            </w:r>
          </w:p>
        </w:tc>
        <w:tc>
          <w:tcPr>
            <w:tcW w:type="dxa" w:w="2160"/>
          </w:tcPr>
          <w:p>
            <w:r/>
            <w:r>
              <w:rPr>
                <w:sz w:val="17"/>
              </w:rPr>
              <w:t>~1.5–3x throughput</w:t>
            </w:r>
          </w:p>
        </w:tc>
        <w:tc>
          <w:tcPr>
            <w:tcW w:type="dxa" w:w="2160"/>
          </w:tcPr>
          <w:p>
            <w:r/>
            <w:r>
              <w:rPr>
                <w:sz w:val="17"/>
              </w:rPr>
              <w:t>Partly (MFU conservative)</w:t>
            </w:r>
          </w:p>
        </w:tc>
      </w:tr>
      <w:tr>
        <w:tc>
          <w:tcPr>
            <w:tcW w:type="dxa" w:w="2160"/>
          </w:tcPr>
          <w:p>
            <w:r/>
            <w:r>
              <w:rPr>
                <w:sz w:val="17"/>
              </w:rPr>
              <w:t>Rising utilization</w:t>
            </w:r>
          </w:p>
        </w:tc>
        <w:tc>
          <w:tcPr>
            <w:tcW w:type="dxa" w:w="2160"/>
          </w:tcPr>
          <w:p>
            <w:r/>
            <w:r>
              <w:rPr>
                <w:sz w:val="17"/>
              </w:rPr>
              <w:t>Fill the idle ~88%</w:t>
            </w:r>
          </w:p>
        </w:tc>
        <w:tc>
          <w:tcPr>
            <w:tcW w:type="dxa" w:w="2160"/>
          </w:tcPr>
          <w:p>
            <w:r/>
            <w:r>
              <w:rPr>
                <w:sz w:val="17"/>
              </w:rPr>
              <w:t>~2x effective (12%→25%)</w:t>
            </w:r>
          </w:p>
        </w:tc>
        <w:tc>
          <w:tcPr>
            <w:tcW w:type="dxa" w:w="2160"/>
          </w:tcPr>
          <w:p>
            <w:r/>
            <w:r>
              <w:rPr>
                <w:sz w:val="17"/>
              </w:rPr>
              <w:t>Yes</w:t>
            </w:r>
          </w:p>
        </w:tc>
      </w:tr>
      <w:tr>
        <w:tc>
          <w:tcPr>
            <w:tcW w:type="dxa" w:w="2160"/>
          </w:tcPr>
          <w:p>
            <w:r/>
            <w:r>
              <w:rPr>
                <w:sz w:val="17"/>
              </w:rPr>
              <w:t>PUE</w:t>
            </w:r>
          </w:p>
        </w:tc>
        <w:tc>
          <w:tcPr>
            <w:tcW w:type="dxa" w:w="2160"/>
          </w:tcPr>
          <w:p>
            <w:r/>
            <w:r>
              <w:rPr>
                <w:sz w:val="17"/>
              </w:rPr>
              <w:t>Facility overhead</w:t>
            </w:r>
          </w:p>
        </w:tc>
        <w:tc>
          <w:tcPr>
            <w:tcW w:type="dxa" w:w="2160"/>
          </w:tcPr>
          <w:p>
            <w:r/>
            <w:r>
              <w:rPr>
                <w:sz w:val="17"/>
              </w:rPr>
              <w:t>~1.22x (1.40→1.15)</w:t>
            </w:r>
          </w:p>
        </w:tc>
        <w:tc>
          <w:tcPr>
            <w:tcW w:type="dxa" w:w="2160"/>
          </w:tcPr>
          <w:p>
            <w:r/>
            <w:r>
              <w:rPr>
                <w:sz w:val="17"/>
              </w:rPr>
              <w:t>Yes</w:t>
            </w:r>
          </w:p>
        </w:tc>
      </w:tr>
    </w:tbl>
    <w:p>
      <w:r>
        <w:rPr>
          <w:i w:val="0"/>
          <w:color w:val="1A1A1A"/>
          <w:sz w:val="21"/>
        </w:rPr>
        <w:t>The single most important distinction is Jevons. Efficiency comes in two flavors. Power-reducing: banked gains — same output, fewer watts (PUE, hardware perf/W on a fixed workload). Capability-spent: gains immediately reinvested in more and bigger inference — longer reasoning chains, more agents, bigger context. The cost to infer at fixed quality is halving roughly every two months, yet aggregate inference power is rising, because every gain is spent on more capability, not banked. This is why the model's power forecast uses a physical efficiency denominator (~17–19x by 2040), not the algorithmic one (~122x). Betting the next decade of algorithmic gains gets banked as a lower power bill is betting against the entire history of computing.</w:t>
      </w:r>
    </w:p>
    <w:p>
      <w:pPr>
        <w:pStyle w:val="Heading1"/>
      </w:pPr>
      <w:r>
        <w:rPr>
          <w:color w:val="2C3E50"/>
        </w:rPr>
        <w:t>3.  From tokens to power — the conversion</w:t>
      </w:r>
    </w:p>
    <w:p>
      <w:pPr>
        <w:pStyle w:val="Heading2"/>
      </w:pPr>
      <w:r>
        <w:rPr>
          <w:color w:val="2C3E50"/>
        </w:rPr>
        <w:t>3.1  What a FLOP is, and why it is the honest unit</w:t>
      </w:r>
    </w:p>
    <w:p>
      <w:r>
        <w:rPr>
          <w:i w:val="0"/>
          <w:color w:val="1A1A1A"/>
          <w:sz w:val="21"/>
        </w:rPr>
        <w:t>A FLOP is one floating-point operation — a single multiply or add on real numbers. “FLOP/s” is the rate; “FLOPs” is a count. A FLOP is the honest unit because it is the actual physical work the silicon performs, and silicon work is what consumes watts. A token is not: it is a unit of output, and the compute behind one token varies ~50x depending on which model produced it. The standard accounting (Kaplan 2020; Chinchilla 2022) is ~2 × N FLOPs per token for inference (the forward pass: one multiply + one add per active parameter) and ~6 × N for training (forward plus a backward pass that costs roughly twice the forward). The model uses exactly 2N and 6N.</w:t>
      </w:r>
    </w:p>
    <w:p>
      <w:r>
        <w:rPr>
          <w:i w:val="0"/>
          <w:color w:val="1A1A1A"/>
          <w:sz w:val="21"/>
        </w:rPr>
        <w:t>The critical subtlety is active versus total parameters. In a Mixture-of-Experts model only the routed experts fire, so N in the 2N rule is active parameters. DeepSeek-V3 is the canonical anchor: 671B total but only 37B active per token — an ~18x difference. The model's three tiers are built on active params: frontier 500B (GPT-4/Claude/Gemini-class), mid 70B (DeepSeek-V3-class; 37B is the live anchor, rounded up conservatively), small 8B (on-device / Llama-8B class). Getting active vs total right is the difference between a credible model and a 10x error.</w:t>
      </w:r>
    </w:p>
    <w:p>
      <w:pPr>
        <w:pStyle w:val="Heading2"/>
      </w:pPr>
      <w:r>
        <w:rPr>
          <w:color w:val="2C3E50"/>
        </w:rPr>
        <w:t>3.2  The unit chain, worked through (a 2035 slice)</w:t>
      </w:r>
    </w:p>
    <w:p>
      <w:r>
        <w:rPr>
          <w:i w:val="0"/>
          <w:color w:val="1A1A1A"/>
          <w:sz w:val="21"/>
        </w:rPr>
        <w:t>Power is a rate (W, kW, MW, GW); energy is power × time (kWh). A 1 GW data center running 24h uses 24 GWh that day. The model works in GW of sustained draw — the grid-planning unit — because that is what must be energized and cooled continuously. The chain, units explicit:</w:t>
      </w:r>
    </w:p>
    <w:p>
      <w:pPr>
        <w:pStyle w:val="ListNumber"/>
      </w:pPr>
      <w:r>
        <w:rPr>
          <w:color w:val="1A1A1A"/>
          <w:sz w:val="21"/>
        </w:rPr>
        <w:t>tokens/day × FLOPs/token = FLOPs/day.  e.g. 6.0e15 tokens × (2 × 50e9) = 6.0e26 FLOPs/day.</w:t>
      </w:r>
    </w:p>
    <w:p>
      <w:pPr>
        <w:pStyle w:val="ListNumber"/>
      </w:pPr>
      <w:r>
        <w:rPr>
          <w:color w:val="1A1A1A"/>
          <w:sz w:val="21"/>
        </w:rPr>
        <w:t>FLOPs/day ÷ 86,400 s = average FLOP/s.  6.0e26 ÷ 86,400 = 6.94e21 FLOP/s.</w:t>
      </w:r>
    </w:p>
    <w:p>
      <w:pPr>
        <w:pStyle w:val="ListNumber"/>
      </w:pPr>
      <w:r>
        <w:rPr>
          <w:color w:val="1A1A1A"/>
          <w:sz w:val="21"/>
        </w:rPr>
        <w:t>÷ (TFLOP/W × MFU) = average watts.  6.94e21 ÷ (40e12 × 0.35) = 4.96e8 W.</w:t>
      </w:r>
    </w:p>
    <w:p>
      <w:pPr>
        <w:pStyle w:val="ListNumber"/>
      </w:pPr>
      <w:r>
        <w:rPr>
          <w:color w:val="1A1A1A"/>
          <w:sz w:val="21"/>
        </w:rPr>
        <w:t>÷ 1,000 thrice = kW → MW → GW.  4.96e8 W = 496 MW = 0.496 GW of IT load.</w:t>
      </w:r>
    </w:p>
    <w:p>
      <w:pPr>
        <w:pStyle w:val="ListNumber"/>
      </w:pPr>
      <w:r>
        <w:rPr>
          <w:color w:val="1A1A1A"/>
          <w:sz w:val="21"/>
        </w:rPr>
        <w:t>× PUE (facility overhead) = facility GW.  0.496 × 1.20 ≈ 0.60 GW.</w:t>
      </w:r>
    </w:p>
    <w:p>
      <w:r>
        <w:rPr>
          <w:i/>
          <w:color w:val="1A1A1A"/>
          <w:sz w:val="21"/>
        </w:rPr>
        <w:t>(This single-tier slice is for unit clarity; the live model runs all three tiers and the full token build, which is why published 2035 FLOPs-lens demand is ~701 GW. The chain and the units are the point here.)</w:t>
      </w:r>
    </w:p>
    <w:p>
      <w:pPr>
        <w:pStyle w:val="Heading2"/>
      </w:pPr>
      <w:r>
        <w:rPr>
          <w:color w:val="2C3E50"/>
        </w:rPr>
        <w:t>3.3  Why the shape is trustworthy even though the level is anchored</w:t>
      </w:r>
    </w:p>
    <w:p>
      <w:r>
        <w:rPr>
          <w:i w:val="0"/>
          <w:color w:val="1A1A1A"/>
          <w:sz w:val="21"/>
        </w:rPr>
        <w:t>This is the most important methodological point in the model. MFU and the 86,400 constant appear in both the 2025 normalizer and every forecast year, so they cancel. The model does not compute absolute GW from first principles. It computes a dimensionless demand pull each year (tokens × FLOPs/token ÷ fleet efficiency), normalizes so that 2025 = 70 GW (the empirically anchored present), and reports every future year as (that year's pull ÷ 2025's pull) × 70 GW. Because of the re-anchor, any constant that multiplies all years equally — MFU, base PUE, even a systematic FLOPs/token error — divides out. What survives is the relative trajectory: how fast tokens grow versus how fast efficiency grows. So read the absolute GW as “anchored to 70 GW today,” but read the shape, the peak year, the crossover, and the duration as robust — they depend only on the ratios of the drivers. The model claims timing and shape with confidence; absolute magnitude with an anchor.</w:t>
      </w:r>
    </w:p>
    <w:p>
      <w:pPr>
        <w:pStyle w:val="Heading1"/>
      </w:pPr>
      <w:r>
        <w:rPr>
          <w:color w:val="2C3E50"/>
        </w:rPr>
        <w:t>4.  How to use it — the Excel workbook</w:t>
      </w:r>
    </w:p>
    <w:p>
      <w:r>
        <w:rPr>
          <w:i w:val="0"/>
          <w:color w:val="1A1A1A"/>
          <w:sz w:val="21"/>
        </w:rPr>
        <w:t>File: Token_and_Data_Build_Out_v4_2.xlsx. The original sheets (Summary, Efficiency Overlay, Base, Robo Bull, Bear) are the token-demand source data and are unchanged. Four new tabs hold the power model. Edit only the input cells; everything else is a live formula. Every formula has been independently re-evaluated and ties out exactly, so opening the file and recalculating changes nothing.</w:t>
      </w:r>
    </w:p>
    <w:p>
      <w:pPr>
        <w:pStyle w:val="Heading2"/>
      </w:pPr>
      <w:r>
        <w:rPr>
          <w:color w:val="2C3E50"/>
        </w:rPr>
        <w:t>Tab: Macro Levers</w:t>
      </w:r>
    </w:p>
    <w:p>
      <w:r>
        <w:rPr>
          <w:i w:val="0"/>
          <w:color w:val="1A1A1A"/>
          <w:sz w:val="21"/>
        </w:rPr>
        <w:t>The master input list for the FLOPs lens — one place to set the assumptions (column B). The dashboard and the FLOPs tabs read from it.</w:t>
      </w:r>
    </w:p>
    <w:p>
      <w:pPr>
        <w:pStyle w:val="Heading2"/>
      </w:pPr>
      <w:r>
        <w:rPr>
          <w:color w:val="2C3E50"/>
        </w:rPr>
        <w:t>Tab: FLOPs to Power</w:t>
      </w:r>
    </w:p>
    <w:p>
      <w:r>
        <w:rPr>
          <w:i w:val="0"/>
          <w:color w:val="1A1A1A"/>
          <w:sz w:val="21"/>
        </w:rPr>
        <w:t>The live conversion engine. Each row turns one year's tokens into power: tokens/day (linked to the Efficiency Overlay sheet) × FLOPs/token (= 2 × N) → FLOPs/day ÷ chip efficiency (TFLOP/W), re-anchored so 2025 = 70 GW → power. Two power columns: power_raw_GW (the pure pull, which can dip as efficiency overtakes demand) and power_GW_floored (with the “don't tear down a power plant” floor). Editable: anchor, retirement rate, and per-year training share, N, and TFLOP/W.</w:t>
      </w:r>
    </w:p>
    <w:p>
      <w:pPr>
        <w:pStyle w:val="Heading2"/>
      </w:pPr>
      <w:r>
        <w:rPr>
          <w:color w:val="2C3E50"/>
        </w:rPr>
        <w:t>Tab: Duration Lens</w:t>
      </w:r>
    </w:p>
    <w:p>
      <w:r>
        <w:rPr>
          <w:i w:val="0"/>
          <w:color w:val="1A1A1A"/>
          <w:sz w:val="21"/>
        </w:rPr>
        <w:t>A clean, write-from summary: the question, the conversion with a worked 2025-vs-2035 example, the tug-of-war, a token-vs-FLOPs comparison, a chart-ready data block (select it and Insert → Line Chart), where to stress-test, and the takeaway. The FLOPs line is linked live.</w:t>
      </w:r>
    </w:p>
    <w:p>
      <w:pPr>
        <w:pStyle w:val="Heading2"/>
      </w:pPr>
      <w:r>
        <w:rPr>
          <w:color w:val="2C3E50"/>
        </w:rPr>
        <w:t>Tab: Operating Model — the main stress-test surface</w:t>
      </w:r>
    </w:p>
    <w:p>
      <w:r>
        <w:rPr>
          <w:i w:val="0"/>
          <w:color w:val="1A1A1A"/>
          <w:sz w:val="21"/>
        </w:rPr>
        <w:t>The full Demand → Supply → Gap chain with a Bull / Base / Bear switch. Set the scenario in cell B3 (1 = Bull, 2 = Base, 3 = Bear) and the whole sheet recomputes. The editable scenario table drives five levers: anchor GW, token-growth adjustment, efficiency adjustment (+ means chips improve faster, which lowers power), capacity retirement (plateau vs cliff), and supply build scale (slower build = bigger gap). The summary block reports peak gap, peak year, balance year (gap &lt; 30 GW), overshoot year (gap &lt; 0), and the 2042 floor. The Base scenario reproduces the Duration lens exactly, so it is a built-in consistency check.</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Scenario</w:t>
            </w:r>
          </w:p>
        </w:tc>
        <w:tc>
          <w:tcPr>
            <w:tcW w:type="dxa" w:w="2160"/>
          </w:tcPr>
          <w:p>
            <w:r/>
            <w:r>
              <w:rPr>
                <w:b/>
                <w:sz w:val="18"/>
              </w:rPr>
              <w:t>Peak gap</w:t>
            </w:r>
          </w:p>
        </w:tc>
        <w:tc>
          <w:tcPr>
            <w:tcW w:type="dxa" w:w="2160"/>
          </w:tcPr>
          <w:p>
            <w:r/>
            <w:r>
              <w:rPr>
                <w:b/>
                <w:sz w:val="18"/>
              </w:rPr>
              <w:t>Peak year</w:t>
            </w:r>
          </w:p>
        </w:tc>
        <w:tc>
          <w:tcPr>
            <w:tcW w:type="dxa" w:w="2160"/>
          </w:tcPr>
          <w:p>
            <w:r/>
            <w:r>
              <w:rPr>
                <w:b/>
                <w:sz w:val="18"/>
              </w:rPr>
              <w:t>Read</w:t>
            </w:r>
          </w:p>
        </w:tc>
      </w:tr>
      <w:tr>
        <w:tc>
          <w:tcPr>
            <w:tcW w:type="dxa" w:w="2160"/>
          </w:tcPr>
          <w:p>
            <w:r/>
            <w:r>
              <w:rPr>
                <w:sz w:val="17"/>
              </w:rPr>
              <w:t>Bull</w:t>
            </w:r>
          </w:p>
        </w:tc>
        <w:tc>
          <w:tcPr>
            <w:tcW w:type="dxa" w:w="2160"/>
          </w:tcPr>
          <w:p>
            <w:r/>
            <w:r>
              <w:rPr>
                <w:sz w:val="17"/>
              </w:rPr>
              <w:t>~526 GW</w:t>
            </w:r>
          </w:p>
        </w:tc>
        <w:tc>
          <w:tcPr>
            <w:tcW w:type="dxa" w:w="2160"/>
          </w:tcPr>
          <w:p>
            <w:r/>
            <w:r>
              <w:rPr>
                <w:sz w:val="17"/>
              </w:rPr>
              <w:t>2034</w:t>
            </w:r>
          </w:p>
        </w:tc>
        <w:tc>
          <w:tcPr>
            <w:tcW w:type="dxa" w:w="2160"/>
          </w:tcPr>
          <w:p>
            <w:r/>
            <w:r>
              <w:rPr>
                <w:sz w:val="17"/>
              </w:rPr>
              <w:t>power high and long</w:t>
            </w:r>
          </w:p>
        </w:tc>
      </w:tr>
      <w:tr>
        <w:tc>
          <w:tcPr>
            <w:tcW w:type="dxa" w:w="2160"/>
          </w:tcPr>
          <w:p>
            <w:r/>
            <w:r>
              <w:rPr>
                <w:sz w:val="17"/>
              </w:rPr>
              <w:t>Base</w:t>
            </w:r>
          </w:p>
        </w:tc>
        <w:tc>
          <w:tcPr>
            <w:tcW w:type="dxa" w:w="2160"/>
          </w:tcPr>
          <w:p>
            <w:r/>
            <w:r>
              <w:rPr>
                <w:sz w:val="17"/>
              </w:rPr>
              <w:t>~278 GW</w:t>
            </w:r>
          </w:p>
        </w:tc>
        <w:tc>
          <w:tcPr>
            <w:tcW w:type="dxa" w:w="2160"/>
          </w:tcPr>
          <w:p>
            <w:r/>
            <w:r>
              <w:rPr>
                <w:sz w:val="17"/>
              </w:rPr>
              <w:t>2031</w:t>
            </w:r>
          </w:p>
        </w:tc>
        <w:tc>
          <w:tcPr>
            <w:tcW w:type="dxa" w:w="2160"/>
          </w:tcPr>
          <w:p>
            <w:r/>
            <w:r>
              <w:rPr>
                <w:sz w:val="17"/>
              </w:rPr>
              <w:t>committed FLOPs lens</w:t>
            </w:r>
          </w:p>
        </w:tc>
      </w:tr>
      <w:tr>
        <w:tc>
          <w:tcPr>
            <w:tcW w:type="dxa" w:w="2160"/>
          </w:tcPr>
          <w:p>
            <w:r/>
            <w:r>
              <w:rPr>
                <w:sz w:val="17"/>
              </w:rPr>
              <w:t>Bear</w:t>
            </w:r>
          </w:p>
        </w:tc>
        <w:tc>
          <w:tcPr>
            <w:tcW w:type="dxa" w:w="2160"/>
          </w:tcPr>
          <w:p>
            <w:r/>
            <w:r>
              <w:rPr>
                <w:sz w:val="17"/>
              </w:rPr>
              <w:t>~121 GW</w:t>
            </w:r>
          </w:p>
        </w:tc>
        <w:tc>
          <w:tcPr>
            <w:tcW w:type="dxa" w:w="2160"/>
          </w:tcPr>
          <w:p>
            <w:r/>
            <w:r>
              <w:rPr>
                <w:sz w:val="17"/>
              </w:rPr>
              <w:t>2029</w:t>
            </w:r>
          </w:p>
        </w:tc>
        <w:tc>
          <w:tcPr>
            <w:tcW w:type="dxa" w:w="2160"/>
          </w:tcPr>
          <w:p>
            <w:r/>
            <w:r>
              <w:rPr>
                <w:sz w:val="17"/>
              </w:rPr>
              <w:t>power rolls over early</w:t>
            </w:r>
          </w:p>
        </w:tc>
      </w:tr>
    </w:tbl>
    <w:p>
      <w:pPr>
        <w:pStyle w:val="Heading1"/>
      </w:pPr>
      <w:r>
        <w:rPr>
          <w:color w:val="2C3E50"/>
        </w:rPr>
        <w:t>5.  How to use it — the dashboard</w:t>
      </w:r>
    </w:p>
    <w:p>
      <w:r>
        <w:rPr>
          <w:i w:val="0"/>
          <w:color w:val="1A1A1A"/>
          <w:sz w:val="21"/>
        </w:rPr>
        <w:t>Launch run.bat (serves on port 8502). The Macro tab shows the demand/supply/gap chart and headline metrics. The sidebar expander “FLOPs demand &amp; retirement” exposes the same levers as the Macro Levers tab. The “Duration Lens” panel shows the tokens → FLOPs → power conversion live and the token-vs-FLOPs comparison. Defaults are read from the Macro Levers Excel tab, so the two stay consistent.</w:t>
      </w:r>
    </w:p>
    <w:p>
      <w:pPr>
        <w:pStyle w:val="Heading1"/>
      </w:pPr>
      <w:r>
        <w:rPr>
          <w:color w:val="2C3E50"/>
        </w:rPr>
        <w:t>6.  Key terms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Term</w:t>
            </w:r>
          </w:p>
        </w:tc>
        <w:tc>
          <w:tcPr>
            <w:tcW w:type="dxa" w:w="4320"/>
          </w:tcPr>
          <w:p>
            <w:r/>
            <w:r>
              <w:rPr>
                <w:b/>
                <w:sz w:val="18"/>
              </w:rPr>
              <w:t>Definition</w:t>
            </w:r>
          </w:p>
        </w:tc>
      </w:tr>
      <w:tr>
        <w:tc>
          <w:tcPr>
            <w:tcW w:type="dxa" w:w="4320"/>
          </w:tcPr>
          <w:p>
            <w:r/>
            <w:r>
              <w:rPr>
                <w:sz w:val="17"/>
              </w:rPr>
              <w:t>Token</w:t>
            </w:r>
          </w:p>
        </w:tc>
        <w:tc>
          <w:tcPr>
            <w:tcW w:type="dxa" w:w="4320"/>
          </w:tcPr>
          <w:p>
            <w:r/>
            <w:r>
              <w:rPr>
                <w:sz w:val="17"/>
              </w:rPr>
              <w:t>Roughly one word of AI input or output. The model's demand driver.</w:t>
            </w:r>
          </w:p>
        </w:tc>
      </w:tr>
      <w:tr>
        <w:tc>
          <w:tcPr>
            <w:tcW w:type="dxa" w:w="4320"/>
          </w:tcPr>
          <w:p>
            <w:r/>
            <w:r>
              <w:rPr>
                <w:sz w:val="17"/>
              </w:rPr>
              <w:t>Power vs energy</w:t>
            </w:r>
          </w:p>
        </w:tc>
        <w:tc>
          <w:tcPr>
            <w:tcW w:type="dxa" w:w="4320"/>
          </w:tcPr>
          <w:p>
            <w:r/>
            <w:r>
              <w:rPr>
                <w:sz w:val="17"/>
              </w:rPr>
              <w:t>Power (GW) is the instantaneous draw — what the grid must supply. Energy (GWh) is power over time. A 1 GW data center uses 24 GWh/day. The thesis is about GW capacity, because that is what is hard to build.</w:t>
            </w:r>
          </w:p>
        </w:tc>
      </w:tr>
      <w:tr>
        <w:tc>
          <w:tcPr>
            <w:tcW w:type="dxa" w:w="4320"/>
          </w:tcPr>
          <w:p>
            <w:r/>
            <w:r>
              <w:rPr>
                <w:sz w:val="17"/>
              </w:rPr>
              <w:t>FLOP</w:t>
            </w:r>
          </w:p>
        </w:tc>
        <w:tc>
          <w:tcPr>
            <w:tcW w:type="dxa" w:w="4320"/>
          </w:tcPr>
          <w:p>
            <w:r/>
            <w:r>
              <w:rPr>
                <w:sz w:val="17"/>
              </w:rPr>
              <w:t>One floating-point operation — the actual unit of compute work, hence energy.</w:t>
            </w:r>
          </w:p>
        </w:tc>
      </w:tr>
      <w:tr>
        <w:tc>
          <w:tcPr>
            <w:tcW w:type="dxa" w:w="4320"/>
          </w:tcPr>
          <w:p>
            <w:r/>
            <w:r>
              <w:rPr>
                <w:sz w:val="17"/>
              </w:rPr>
              <w:t>FLOPs/token (2N)</w:t>
            </w:r>
          </w:p>
        </w:tc>
        <w:tc>
          <w:tcPr>
            <w:tcW w:type="dxa" w:w="4320"/>
          </w:tcPr>
          <w:p>
            <w:r/>
            <w:r>
              <w:rPr>
                <w:sz w:val="17"/>
              </w:rPr>
              <w:t>A token costs ~2 × N operations to generate (N = active parameters). Training costs ~6N (forward + backward pass).</w:t>
            </w:r>
          </w:p>
        </w:tc>
      </w:tr>
      <w:tr>
        <w:tc>
          <w:tcPr>
            <w:tcW w:type="dxa" w:w="4320"/>
          </w:tcPr>
          <w:p>
            <w:r/>
            <w:r>
              <w:rPr>
                <w:sz w:val="17"/>
              </w:rPr>
              <w:t>N (active params)</w:t>
            </w:r>
          </w:p>
        </w:tc>
        <w:tc>
          <w:tcPr>
            <w:tcW w:type="dxa" w:w="4320"/>
          </w:tcPr>
          <w:p>
            <w:r/>
            <w:r>
              <w:rPr>
                <w:sz w:val="17"/>
              </w:rPr>
              <w:t>The size of the model actually doing the work. For a Mixture-of-Experts model only the activated experts count, not the total. A token's cost varies ~50x across model sizes.</w:t>
            </w:r>
          </w:p>
        </w:tc>
      </w:tr>
      <w:tr>
        <w:tc>
          <w:tcPr>
            <w:tcW w:type="dxa" w:w="4320"/>
          </w:tcPr>
          <w:p>
            <w:r/>
            <w:r>
              <w:rPr>
                <w:sz w:val="17"/>
              </w:rPr>
              <w:t>TFLOP/W</w:t>
            </w:r>
          </w:p>
        </w:tc>
        <w:tc>
          <w:tcPr>
            <w:tcW w:type="dxa" w:w="4320"/>
          </w:tcPr>
          <w:p>
            <w:r/>
            <w:r>
              <w:rPr>
                <w:sz w:val="17"/>
              </w:rPr>
              <w:t>Trillions of operations per watt — chip efficiency. Assumed ~9 (2025) → ~60 (2042) as silicon improves (Blackwell → Rubin).</w:t>
            </w:r>
          </w:p>
        </w:tc>
      </w:tr>
      <w:tr>
        <w:tc>
          <w:tcPr>
            <w:tcW w:type="dxa" w:w="4320"/>
          </w:tcPr>
          <w:p>
            <w:r/>
            <w:r>
              <w:rPr>
                <w:sz w:val="17"/>
              </w:rPr>
              <w:t>MFU</w:t>
            </w:r>
          </w:p>
        </w:tc>
        <w:tc>
          <w:tcPr>
            <w:tcW w:type="dxa" w:w="4320"/>
          </w:tcPr>
          <w:p>
            <w:r/>
            <w:r>
              <w:rPr>
                <w:sz w:val="17"/>
              </w:rPr>
              <w:t>Model FLOPs Utilization — fraction of a chip's peak speed actually achieved (~35%). Cancels in the 2025 re-anchor.</w:t>
            </w:r>
          </w:p>
        </w:tc>
      </w:tr>
      <w:tr>
        <w:tc>
          <w:tcPr>
            <w:tcW w:type="dxa" w:w="4320"/>
          </w:tcPr>
          <w:p>
            <w:r/>
            <w:r>
              <w:rPr>
                <w:sz w:val="17"/>
              </w:rPr>
              <w:t>PUE</w:t>
            </w:r>
          </w:p>
        </w:tc>
        <w:tc>
          <w:tcPr>
            <w:tcW w:type="dxa" w:w="4320"/>
          </w:tcPr>
          <w:p>
            <w:r/>
            <w:r>
              <w:rPr>
                <w:sz w:val="17"/>
              </w:rPr>
              <w:t>Power Usage Effectiveness — facility overhead (cooling, conversion). 1.4 means 40% extra on top of the chips.</w:t>
            </w:r>
          </w:p>
        </w:tc>
      </w:tr>
      <w:tr>
        <w:tc>
          <w:tcPr>
            <w:tcW w:type="dxa" w:w="4320"/>
          </w:tcPr>
          <w:p>
            <w:r/>
            <w:r>
              <w:rPr>
                <w:sz w:val="17"/>
              </w:rPr>
              <w:t>Utilization</w:t>
            </w:r>
          </w:p>
        </w:tc>
        <w:tc>
          <w:tcPr>
            <w:tcW w:type="dxa" w:w="4320"/>
          </w:tcPr>
          <w:p>
            <w:r/>
            <w:r>
              <w:rPr>
                <w:sz w:val="17"/>
              </w:rPr>
              <w:t>Share of deployed AI chips actively computing at any moment (~12%). Dividing by it scales active power up to total fleet power.</w:t>
            </w:r>
          </w:p>
        </w:tc>
      </w:tr>
      <w:tr>
        <w:tc>
          <w:tcPr>
            <w:tcW w:type="dxa" w:w="4320"/>
          </w:tcPr>
          <w:p>
            <w:r/>
            <w:r>
              <w:rPr>
                <w:sz w:val="17"/>
              </w:rPr>
              <w:t>Anchor (70 GW)</w:t>
            </w:r>
          </w:p>
        </w:tc>
        <w:tc>
          <w:tcPr>
            <w:tcW w:type="dxa" w:w="4320"/>
          </w:tcPr>
          <w:p>
            <w:r/>
            <w:r>
              <w:rPr>
                <w:sz w:val="17"/>
              </w:rPr>
              <w:t>Measured total DC power in 2025, used to calibrate. Everything is relative to it, so the messy physics cancels and only relative change matters.</w:t>
            </w:r>
          </w:p>
        </w:tc>
      </w:tr>
      <w:tr>
        <w:tc>
          <w:tcPr>
            <w:tcW w:type="dxa" w:w="4320"/>
          </w:tcPr>
          <w:p>
            <w:r/>
            <w:r>
              <w:rPr>
                <w:sz w:val="17"/>
              </w:rPr>
              <w:t>Gap</w:t>
            </w:r>
          </w:p>
        </w:tc>
        <w:tc>
          <w:tcPr>
            <w:tcW w:type="dxa" w:w="4320"/>
          </w:tcPr>
          <w:p>
            <w:r/>
            <w:r>
              <w:rPr>
                <w:sz w:val="17"/>
              </w:rPr>
              <w:t>Demand minus supply, in GW. Positive = shortage = pricing power for power/grid/cooling suppliers. Negative = oversupply.</w:t>
            </w:r>
          </w:p>
        </w:tc>
      </w:tr>
      <w:tr>
        <w:tc>
          <w:tcPr>
            <w:tcW w:type="dxa" w:w="4320"/>
          </w:tcPr>
          <w:p>
            <w:r/>
            <w:r>
              <w:rPr>
                <w:sz w:val="17"/>
              </w:rPr>
              <w:t>Peak / balance / overshoot</w:t>
            </w:r>
          </w:p>
        </w:tc>
        <w:tc>
          <w:tcPr>
            <w:tcW w:type="dxa" w:w="4320"/>
          </w:tcPr>
          <w:p>
            <w:r/>
            <w:r>
              <w:rPr>
                <w:sz w:val="17"/>
              </w:rPr>
              <w:t>Peak = largest gap. Balance = first year gap &lt; 30 GW. Overshoot = first year gap goes negative.</w:t>
            </w:r>
          </w:p>
        </w:tc>
      </w:tr>
      <w:tr>
        <w:tc>
          <w:tcPr>
            <w:tcW w:type="dxa" w:w="4320"/>
          </w:tcPr>
          <w:p>
            <w:r/>
            <w:r>
              <w:rPr>
                <w:sz w:val="17"/>
              </w:rPr>
              <w:t>Retirement / floor</w:t>
            </w:r>
          </w:p>
        </w:tc>
        <w:tc>
          <w:tcPr>
            <w:tcW w:type="dxa" w:w="4320"/>
          </w:tcPr>
          <w:p>
            <w:r/>
            <w:r>
              <w:rPr>
                <w:sz w:val="17"/>
              </w:rPr>
              <w:t>Whether deployed capacity is ever torn down. The floor (retirement = 0) holds demand flat once built (plateau); higher retirement lets it decline (cliff).</w:t>
            </w:r>
          </w:p>
        </w:tc>
      </w:tr>
      <w:tr>
        <w:tc>
          <w:tcPr>
            <w:tcW w:type="dxa" w:w="4320"/>
          </w:tcPr>
          <w:p>
            <w:r/>
            <w:r>
              <w:rPr>
                <w:sz w:val="17"/>
              </w:rPr>
              <w:t>Routing / orchestration</w:t>
            </w:r>
          </w:p>
        </w:tc>
        <w:tc>
          <w:tcPr>
            <w:tcW w:type="dxa" w:w="4320"/>
          </w:tcPr>
          <w:p>
            <w:r/>
            <w:r>
              <w:rPr>
                <w:sz w:val="17"/>
              </w:rPr>
              <w:t>Sending easy queries to smaller models. Lowers N (FLOPs/token) without changing token count — an efficiency a token-only model cannot see.</w:t>
            </w:r>
          </w:p>
        </w:tc>
      </w:tr>
      <w:tr>
        <w:tc>
          <w:tcPr>
            <w:tcW w:type="dxa" w:w="4320"/>
          </w:tcPr>
          <w:p>
            <w:r/>
            <w:r>
              <w:rPr>
                <w:sz w:val="17"/>
              </w:rPr>
              <w:t>Agentic demand</w:t>
            </w:r>
          </w:p>
        </w:tc>
        <w:tc>
          <w:tcPr>
            <w:tcW w:type="dxa" w:w="4320"/>
          </w:tcPr>
          <w:p>
            <w:r/>
            <w:r>
              <w:rPr>
                <w:sz w:val="17"/>
              </w:rPr>
              <w:t>Reasoning models and multi-agent workflows that generate many more tokens per task — a token-count effect, captured in the enterprise agent multiplier.</w:t>
            </w:r>
          </w:p>
        </w:tc>
      </w:tr>
      <w:tr>
        <w:tc>
          <w:tcPr>
            <w:tcW w:type="dxa" w:w="4320"/>
          </w:tcPr>
          <w:p>
            <w:r/>
            <w:r>
              <w:rPr>
                <w:sz w:val="17"/>
              </w:rPr>
              <w:t>Duration lens</w:t>
            </w:r>
          </w:p>
        </w:tc>
        <w:tc>
          <w:tcPr>
            <w:tcW w:type="dxa" w:w="4320"/>
          </w:tcPr>
          <w:p>
            <w:r/>
            <w:r>
              <w:rPr>
                <w:sz w:val="17"/>
              </w:rPr>
              <w:t>The FLOPs view: not a higher peak, but a higher floor and a later gap-close — the case for a longer-lived power thesis.</w:t>
            </w:r>
          </w:p>
        </w:tc>
      </w:tr>
    </w:tbl>
    <w:p>
      <w:pPr>
        <w:pStyle w:val="Heading1"/>
      </w:pPr>
      <w:r>
        <w:rPr>
          <w:color w:val="2C3E50"/>
        </w:rPr>
        <w:t>7.  The assumptions — precedent and derivation</w:t>
      </w:r>
    </w:p>
    <w:p>
      <w:r>
        <w:rPr>
          <w:i w:val="0"/>
          <w:color w:val="1A1A1A"/>
          <w:sz w:val="21"/>
        </w:rPr>
        <w:t>This is the heart of the document. For each base-case parameter: the value, what it is anchored to, and the one fact that matters most. Fuller derivation follows for the load-bearing ones.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Parameter</w:t>
            </w:r>
          </w:p>
        </w:tc>
        <w:tc>
          <w:tcPr>
            <w:tcW w:type="dxa" w:w="2160"/>
          </w:tcPr>
          <w:p>
            <w:r/>
            <w:r>
              <w:rPr>
                <w:b/>
                <w:sz w:val="18"/>
              </w:rPr>
              <w:t>Value</w:t>
            </w:r>
          </w:p>
        </w:tc>
        <w:tc>
          <w:tcPr>
            <w:tcW w:type="dxa" w:w="2160"/>
          </w:tcPr>
          <w:p>
            <w:r/>
            <w:r>
              <w:rPr>
                <w:b/>
                <w:sz w:val="18"/>
              </w:rPr>
              <w:t>Anchored to</w:t>
            </w:r>
          </w:p>
        </w:tc>
        <w:tc>
          <w:tcPr>
            <w:tcW w:type="dxa" w:w="2160"/>
          </w:tcPr>
          <w:p>
            <w:r/>
            <w:r>
              <w:rPr>
                <w:b/>
                <w:sz w:val="18"/>
              </w:rPr>
              <w:t>Key point</w:t>
            </w:r>
          </w:p>
        </w:tc>
      </w:tr>
      <w:tr>
        <w:tc>
          <w:tcPr>
            <w:tcW w:type="dxa" w:w="2160"/>
          </w:tcPr>
          <w:p>
            <w:r/>
            <w:r>
              <w:rPr>
                <w:sz w:val="17"/>
              </w:rPr>
              <w:t>Power anchor</w:t>
            </w:r>
          </w:p>
        </w:tc>
        <w:tc>
          <w:tcPr>
            <w:tcW w:type="dxa" w:w="2160"/>
          </w:tcPr>
          <w:p>
            <w:r/>
            <w:r>
              <w:rPr>
                <w:sz w:val="17"/>
              </w:rPr>
              <w:t>70 GW (2025)</w:t>
            </w:r>
          </w:p>
        </w:tc>
        <w:tc>
          <w:tcPr>
            <w:tcW w:type="dxa" w:w="2160"/>
          </w:tcPr>
          <w:p>
            <w:r/>
            <w:r>
              <w:rPr>
                <w:sz w:val="17"/>
              </w:rPr>
              <w:t>C&amp;W / JLL / GS / McKinsey / DCD</w:t>
            </w:r>
          </w:p>
        </w:tc>
        <w:tc>
          <w:tcPr>
            <w:tcW w:type="dxa" w:w="2160"/>
          </w:tcPr>
          <w:p>
            <w:r/>
            <w:r>
              <w:rPr>
                <w:sz w:val="17"/>
              </w:rPr>
              <w:t>Mid of a tight 65–72 cluster</w:t>
            </w:r>
          </w:p>
        </w:tc>
      </w:tr>
      <w:tr>
        <w:tc>
          <w:tcPr>
            <w:tcW w:type="dxa" w:w="2160"/>
          </w:tcPr>
          <w:p>
            <w:r/>
            <w:r>
              <w:rPr>
                <w:sz w:val="17"/>
              </w:rPr>
              <w:t>Efficiency doubling</w:t>
            </w:r>
          </w:p>
        </w:tc>
        <w:tc>
          <w:tcPr>
            <w:tcW w:type="dxa" w:w="2160"/>
          </w:tcPr>
          <w:p>
            <w:r/>
            <w:r>
              <w:rPr>
                <w:sz w:val="17"/>
              </w:rPr>
              <w:t>1.85 yr</w:t>
            </w:r>
          </w:p>
        </w:tc>
        <w:tc>
          <w:tcPr>
            <w:tcW w:type="dxa" w:w="2160"/>
          </w:tcPr>
          <w:p>
            <w:r/>
            <w:r>
              <w:rPr>
                <w:sz w:val="17"/>
              </w:rPr>
              <w:t>Epoch AI (Jun-2025)</w:t>
            </w:r>
          </w:p>
        </w:tc>
        <w:tc>
          <w:tcPr>
            <w:tcW w:type="dxa" w:w="2160"/>
          </w:tcPr>
          <w:p>
            <w:r/>
            <w:r>
              <w:rPr>
                <w:sz w:val="17"/>
              </w:rPr>
              <w:t>Aggressive vs Epoch's ~2.0; conservative-for-bull</w:t>
            </w:r>
          </w:p>
        </w:tc>
      </w:tr>
      <w:tr>
        <w:tc>
          <w:tcPr>
            <w:tcW w:type="dxa" w:w="2160"/>
          </w:tcPr>
          <w:p>
            <w:r/>
            <w:r>
              <w:rPr>
                <w:sz w:val="17"/>
              </w:rPr>
              <w:t>Fleet replacement lag</w:t>
            </w:r>
          </w:p>
        </w:tc>
        <w:tc>
          <w:tcPr>
            <w:tcW w:type="dxa" w:w="2160"/>
          </w:tcPr>
          <w:p>
            <w:r/>
            <w:r>
              <w:rPr>
                <w:sz w:val="17"/>
              </w:rPr>
              <w:t>5 yr</w:t>
            </w:r>
          </w:p>
        </w:tc>
        <w:tc>
          <w:tcPr>
            <w:tcW w:type="dxa" w:w="2160"/>
          </w:tcPr>
          <w:p>
            <w:r/>
            <w:r>
              <w:rPr>
                <w:sz w:val="17"/>
              </w:rPr>
              <w:t>HW refresh 3–4; enterprise 7–8</w:t>
            </w:r>
          </w:p>
        </w:tc>
        <w:tc>
          <w:tcPr>
            <w:tcW w:type="dxa" w:w="2160"/>
          </w:tcPr>
          <w:p>
            <w:r/>
            <w:r>
              <w:rPr>
                <w:sz w:val="17"/>
              </w:rPr>
              <w:t>Controls how fast efficiency propagates</w:t>
            </w:r>
          </w:p>
        </w:tc>
      </w:tr>
      <w:tr>
        <w:tc>
          <w:tcPr>
            <w:tcW w:type="dxa" w:w="2160"/>
          </w:tcPr>
          <w:p>
            <w:r/>
            <w:r>
              <w:rPr>
                <w:sz w:val="17"/>
              </w:rPr>
              <w:t>Supply phase rates</w:t>
            </w:r>
          </w:p>
        </w:tc>
        <w:tc>
          <w:tcPr>
            <w:tcW w:type="dxa" w:w="2160"/>
          </w:tcPr>
          <w:p>
            <w:r/>
            <w:r>
              <w:rPr>
                <w:sz w:val="17"/>
              </w:rPr>
              <w:t>22/30/25/15 %/yr</w:t>
            </w:r>
          </w:p>
        </w:tc>
        <w:tc>
          <w:tcPr>
            <w:tcW w:type="dxa" w:w="2160"/>
          </w:tcPr>
          <w:p>
            <w:r/>
            <w:r>
              <w:rPr>
                <w:sz w:val="17"/>
              </w:rPr>
              <w:t>Calibrated to JLL 200–225 GW by 2030</w:t>
            </w:r>
          </w:p>
        </w:tc>
        <w:tc>
          <w:tcPr>
            <w:tcW w:type="dxa" w:w="2160"/>
          </w:tcPr>
          <w:p>
            <w:r/>
            <w:r>
              <w:rPr>
                <w:sz w:val="17"/>
              </w:rPr>
              <w:t>Steps down as bottlenecks exhaust</w:t>
            </w:r>
          </w:p>
        </w:tc>
      </w:tr>
      <w:tr>
        <w:tc>
          <w:tcPr>
            <w:tcW w:type="dxa" w:w="2160"/>
          </w:tcPr>
          <w:p>
            <w:r/>
            <w:r>
              <w:rPr>
                <w:sz w:val="17"/>
              </w:rPr>
              <w:t>Utilization</w:t>
            </w:r>
          </w:p>
        </w:tc>
        <w:tc>
          <w:tcPr>
            <w:tcW w:type="dxa" w:w="2160"/>
          </w:tcPr>
          <w:p>
            <w:r/>
            <w:r>
              <w:rPr>
                <w:sz w:val="17"/>
              </w:rPr>
              <w:t>12% → 25%</w:t>
            </w:r>
          </w:p>
        </w:tc>
        <w:tc>
          <w:tcPr>
            <w:tcW w:type="dxa" w:w="2160"/>
          </w:tcPr>
          <w:p>
            <w:r/>
            <w:r>
              <w:rPr>
                <w:sz w:val="17"/>
              </w:rPr>
              <w:t>~9% measured 2026; cloud ~15–20%</w:t>
            </w:r>
          </w:p>
        </w:tc>
        <w:tc>
          <w:tcPr>
            <w:tcW w:type="dxa" w:w="2160"/>
          </w:tcPr>
          <w:p>
            <w:r/>
            <w:r>
              <w:rPr>
                <w:sz w:val="17"/>
              </w:rPr>
              <w:t>Rising = bearish for power-per-token</w:t>
            </w:r>
          </w:p>
        </w:tc>
      </w:tr>
      <w:tr>
        <w:tc>
          <w:tcPr>
            <w:tcW w:type="dxa" w:w="2160"/>
          </w:tcPr>
          <w:p>
            <w:r/>
            <w:r>
              <w:rPr>
                <w:sz w:val="17"/>
              </w:rPr>
              <w:t>PUE</w:t>
            </w:r>
          </w:p>
        </w:tc>
        <w:tc>
          <w:tcPr>
            <w:tcW w:type="dxa" w:w="2160"/>
          </w:tcPr>
          <w:p>
            <w:r/>
            <w:r>
              <w:rPr>
                <w:sz w:val="17"/>
              </w:rPr>
              <w:t>1.40 → 1.15</w:t>
            </w:r>
          </w:p>
        </w:tc>
        <w:tc>
          <w:tcPr>
            <w:tcW w:type="dxa" w:w="2160"/>
          </w:tcPr>
          <w:p>
            <w:r/>
            <w:r>
              <w:rPr>
                <w:sz w:val="17"/>
              </w:rPr>
              <w:t>Liquid-cooling penetration</w:t>
            </w:r>
          </w:p>
        </w:tc>
        <w:tc>
          <w:tcPr>
            <w:tcW w:type="dxa" w:w="2160"/>
          </w:tcPr>
          <w:p>
            <w:r/>
            <w:r>
              <w:rPr>
                <w:sz w:val="17"/>
              </w:rPr>
              <w:t>Only the trajectory bends the curve</w:t>
            </w:r>
          </w:p>
        </w:tc>
      </w:tr>
      <w:tr>
        <w:tc>
          <w:tcPr>
            <w:tcW w:type="dxa" w:w="2160"/>
          </w:tcPr>
          <w:p>
            <w:r/>
            <w:r>
              <w:rPr>
                <w:sz w:val="17"/>
              </w:rPr>
              <w:t>N_active tiers</w:t>
            </w:r>
          </w:p>
        </w:tc>
        <w:tc>
          <w:tcPr>
            <w:tcW w:type="dxa" w:w="2160"/>
          </w:tcPr>
          <w:p>
            <w:r/>
            <w:r>
              <w:rPr>
                <w:sz w:val="17"/>
              </w:rPr>
              <w:t>500 / 70 / 8 B</w:t>
            </w:r>
          </w:p>
        </w:tc>
        <w:tc>
          <w:tcPr>
            <w:tcW w:type="dxa" w:w="2160"/>
          </w:tcPr>
          <w:p>
            <w:r/>
            <w:r>
              <w:rPr>
                <w:sz w:val="17"/>
              </w:rPr>
              <w:t>GPT-4-class / DeepSeek-V3 / Llama-8B</w:t>
            </w:r>
          </w:p>
        </w:tc>
        <w:tc>
          <w:tcPr>
            <w:tcW w:type="dxa" w:w="2160"/>
          </w:tcPr>
          <w:p>
            <w:r/>
            <w:r>
              <w:rPr>
                <w:sz w:val="17"/>
              </w:rPr>
              <w:t>Illustrative, not calibrated</w:t>
            </w:r>
          </w:p>
        </w:tc>
      </w:tr>
      <w:tr>
        <w:tc>
          <w:tcPr>
            <w:tcW w:type="dxa" w:w="2160"/>
          </w:tcPr>
          <w:p>
            <w:r/>
            <w:r>
              <w:rPr>
                <w:sz w:val="17"/>
              </w:rPr>
              <w:t>Routing mix</w:t>
            </w:r>
          </w:p>
        </w:tc>
        <w:tc>
          <w:tcPr>
            <w:tcW w:type="dxa" w:w="2160"/>
          </w:tcPr>
          <w:p>
            <w:r/>
            <w:r>
              <w:rPr>
                <w:sz w:val="17"/>
              </w:rPr>
              <w:t>0.55/0.30/0.15 → 0.15/0.35/0.50</w:t>
            </w:r>
          </w:p>
        </w:tc>
        <w:tc>
          <w:tcPr>
            <w:tcW w:type="dxa" w:w="2160"/>
          </w:tcPr>
          <w:p>
            <w:r/>
            <w:r>
              <w:rPr>
                <w:sz w:val="17"/>
              </w:rPr>
              <w:t>Cascade economics</w:t>
            </w:r>
          </w:p>
        </w:tc>
        <w:tc>
          <w:tcPr>
            <w:tcW w:type="dxa" w:w="2160"/>
          </w:tcPr>
          <w:p>
            <w:r/>
            <w:r>
              <w:rPr>
                <w:sz w:val="17"/>
              </w:rPr>
              <w:t>Yields ~2.9x model-size shrink</w:t>
            </w:r>
          </w:p>
        </w:tc>
      </w:tr>
      <w:tr>
        <w:tc>
          <w:tcPr>
            <w:tcW w:type="dxa" w:w="2160"/>
          </w:tcPr>
          <w:p>
            <w:r/>
            <w:r>
              <w:rPr>
                <w:sz w:val="17"/>
              </w:rPr>
              <w:t>TFLOP/W ramp</w:t>
            </w:r>
          </w:p>
        </w:tc>
        <w:tc>
          <w:tcPr>
            <w:tcW w:type="dxa" w:w="2160"/>
          </w:tcPr>
          <w:p>
            <w:r/>
            <w:r>
              <w:rPr>
                <w:sz w:val="17"/>
              </w:rPr>
              <w:t>9 → 60</w:t>
            </w:r>
          </w:p>
        </w:tc>
        <w:tc>
          <w:tcPr>
            <w:tcW w:type="dxa" w:w="2160"/>
          </w:tcPr>
          <w:p>
            <w:r/>
            <w:r>
              <w:rPr>
                <w:sz w:val="17"/>
              </w:rPr>
              <w:t>H100→B200→GB200→Rubin perf/W</w:t>
            </w:r>
          </w:p>
        </w:tc>
        <w:tc>
          <w:tcPr>
            <w:tcW w:type="dxa" w:w="2160"/>
          </w:tcPr>
          <w:p>
            <w:r/>
            <w:r>
              <w:rPr>
                <w:sz w:val="17"/>
              </w:rPr>
              <w:t>~6x hardware gain to 2040</w:t>
            </w:r>
          </w:p>
        </w:tc>
      </w:tr>
      <w:tr>
        <w:tc>
          <w:tcPr>
            <w:tcW w:type="dxa" w:w="2160"/>
          </w:tcPr>
          <w:p>
            <w:r/>
            <w:r>
              <w:rPr>
                <w:sz w:val="17"/>
              </w:rPr>
              <w:t>MFU</w:t>
            </w:r>
          </w:p>
        </w:tc>
        <w:tc>
          <w:tcPr>
            <w:tcW w:type="dxa" w:w="2160"/>
          </w:tcPr>
          <w:p>
            <w:r/>
            <w:r>
              <w:rPr>
                <w:sz w:val="17"/>
              </w:rPr>
              <w:t>0.35</w:t>
            </w:r>
          </w:p>
        </w:tc>
        <w:tc>
          <w:tcPr>
            <w:tcW w:type="dxa" w:w="2160"/>
          </w:tcPr>
          <w:p>
            <w:r/>
            <w:r>
              <w:rPr>
                <w:sz w:val="17"/>
              </w:rPr>
              <w:t>Frontier training 0.35–0.50</w:t>
            </w:r>
          </w:p>
        </w:tc>
        <w:tc>
          <w:tcPr>
            <w:tcW w:type="dxa" w:w="2160"/>
          </w:tcPr>
          <w:p>
            <w:r/>
            <w:r>
              <w:rPr>
                <w:sz w:val="17"/>
              </w:rPr>
              <w:t>Cancels in re-anchor</w:t>
            </w:r>
          </w:p>
        </w:tc>
      </w:tr>
      <w:tr>
        <w:tc>
          <w:tcPr>
            <w:tcW w:type="dxa" w:w="2160"/>
          </w:tcPr>
          <w:p>
            <w:r/>
            <w:r>
              <w:rPr>
                <w:sz w:val="17"/>
              </w:rPr>
              <w:t>Capex basis</w:t>
            </w:r>
          </w:p>
        </w:tc>
        <w:tc>
          <w:tcPr>
            <w:tcW w:type="dxa" w:w="2160"/>
          </w:tcPr>
          <w:p>
            <w:r/>
            <w:r>
              <w:rPr>
                <w:sz w:val="17"/>
              </w:rPr>
              <w:t>$11.3 + $15 × 50% /MW; 25% power-grid</w:t>
            </w:r>
          </w:p>
        </w:tc>
        <w:tc>
          <w:tcPr>
            <w:tcW w:type="dxa" w:w="2160"/>
          </w:tcPr>
          <w:p>
            <w:r/>
            <w:r>
              <w:rPr>
                <w:sz w:val="17"/>
              </w:rPr>
              <w:t>JLL 2026</w:t>
            </w:r>
          </w:p>
        </w:tc>
        <w:tc>
          <w:tcPr>
            <w:tcW w:type="dxa" w:w="2160"/>
          </w:tcPr>
          <w:p>
            <w:r/>
            <w:r>
              <w:rPr>
                <w:sz w:val="17"/>
              </w:rPr>
              <w:t>Supply-driven → $8.4T cumulative</w:t>
            </w:r>
          </w:p>
        </w:tc>
      </w:tr>
    </w:tbl>
    <w:p>
      <w:pPr>
        <w:pStyle w:val="Heading2"/>
      </w:pPr>
      <w:r>
        <w:rPr>
          <w:color w:val="2C3E50"/>
        </w:rPr>
        <w:t>The parameters that carry the most weight</w:t>
      </w:r>
    </w:p>
    <w:p>
      <w:pPr>
        <w:pStyle w:val="ListBullet"/>
      </w:pPr>
      <w:r>
        <w:rPr>
          <w:b/>
          <w:color w:val="1A1A1A"/>
          <w:sz w:val="21"/>
        </w:rPr>
        <w:t xml:space="preserve">70 GW anchor. </w:t>
      </w:r>
      <w:r>
        <w:rPr>
          <w:color w:val="1A1A1A"/>
          <w:sz w:val="21"/>
        </w:rPr>
        <w:t>Center of the C&amp;W (63→70–72), JLL (72), GS (65), McKinsey (70), DCD (68) cluster. ±5 GW, and low-stakes because everything re-anchors to it.</w:t>
      </w:r>
    </w:p>
    <w:p>
      <w:pPr>
        <w:pStyle w:val="ListBullet"/>
      </w:pPr>
      <w:r>
        <w:rPr>
          <w:b/>
          <w:color w:val="1A1A1A"/>
          <w:sz w:val="21"/>
        </w:rPr>
        <w:t xml:space="preserve">1.85-year efficiency doubling. </w:t>
      </w:r>
      <w:r>
        <w:rPr>
          <w:color w:val="1A1A1A"/>
          <w:sz w:val="21"/>
        </w:rPr>
        <w:t>Epoch AI's Jun-2025 update puts ML hardware energy efficiency at ~40%/yr (~2.0-yr doubling); the longer GPU series is 2.4–3.0 yr. The model takes 1.85 — slightly faster than Epoch — leaning on the post-Blackwell annual-cadence collapse. This is the model's most aggressive externally-checkable assumption, and it cuts against the power thesis (faster efficiency shrinks the gap), so erring this way understates the power case. It is a defense, not a vulnerability.</w:t>
      </w:r>
    </w:p>
    <w:p>
      <w:pPr>
        <w:pStyle w:val="ListBullet"/>
      </w:pPr>
      <w:r>
        <w:rPr>
          <w:b/>
          <w:color w:val="1A1A1A"/>
          <w:sz w:val="21"/>
        </w:rPr>
        <w:t xml:space="preserve">Supply phase rates (22/30/25/15). </w:t>
      </w:r>
      <w:r>
        <w:rPr>
          <w:color w:val="1A1A1A"/>
          <w:sz w:val="21"/>
        </w:rPr>
        <w:t>Calibrated so 2030 supply (~229 GW) sits just above the JLL/McKinsey/Bain 200–225 GW consensus. The step-up-then-down shape is the physical story: 22% early (permitted pipeline), 30% as the 2026-27 turbine/transformer wave energizes, then deceleration to 25% and 15% as easy interconnect points, GOES, and turbine slots exhaust. You cannot compound a physical grid at 30% forever; the back-half deceleration is the supply ceiling expressing itself.</w:t>
      </w:r>
    </w:p>
    <w:p>
      <w:pPr>
        <w:pStyle w:val="ListBullet"/>
      </w:pPr>
      <w:r>
        <w:rPr>
          <w:b/>
          <w:color w:val="1A1A1A"/>
          <w:sz w:val="21"/>
        </w:rPr>
        <w:t xml:space="preserve">TFLOP/W ramp (9→60). </w:t>
      </w:r>
      <w:r>
        <w:rPr>
          <w:color w:val="1A1A1A"/>
          <w:sz w:val="21"/>
        </w:rPr>
        <w:t>Share-weighted by GPU generation: H100 ~5.65, H200 ~7, B200 ~9, GB200 ~15, Rubin ~25–30. NVIDIA claims Rubin ~10x perf/W over GB200 via FP4 and co-design. ~6x hardware gain to 2040 — aggressive but roadmap-defensible; vendor perf/W claims are FP4-inflated, so realized gains run below headline.</w:t>
      </w:r>
    </w:p>
    <w:p>
      <w:pPr>
        <w:pStyle w:val="ListBullet"/>
      </w:pPr>
      <w:r>
        <w:rPr>
          <w:b/>
          <w:color w:val="1A1A1A"/>
          <w:sz w:val="21"/>
        </w:rPr>
        <w:t xml:space="preserve">N_active tiers (500/70/8). </w:t>
      </w:r>
      <w:r>
        <w:rPr>
          <w:color w:val="1A1A1A"/>
          <w:sz w:val="21"/>
        </w:rPr>
        <w:t>The model's own corrections doc flags these as illustrative, not calibrated — so the FLOPs peak is a lens, not a hard headline. The load-bearing fact is the ~50x frontier-to-small ratio, which is robust.</w:t>
      </w:r>
    </w:p>
    <w:p>
      <w:pPr>
        <w:pStyle w:val="Heading2"/>
      </w:pPr>
      <w:r>
        <w:rPr>
          <w:color w:val="2C3E50"/>
        </w:rPr>
        <w:t>The efficiency tension: ~19x, not ~122x</w:t>
      </w:r>
    </w:p>
    <w:p>
      <w:r>
        <w:rPr>
          <w:i w:val="0"/>
          <w:color w:val="1A1A1A"/>
          <w:sz w:val="21"/>
        </w:rPr>
        <w:t>This is the argument a sharp reader will press, so it is worth stating plainly. The token lens implicitly assumes ~122x blended efficiency by 2040: tokens grow ~176x yet token-lens demand plateaus near 549 GW (~7.8x the base). That 122x comes from compounding a blended tokens/kWh index that secretly fuses hardware, model-size, and algorithmic gains into one exponential.</w:t>
      </w:r>
    </w:p>
    <w:p>
      <w:r>
        <w:rPr>
          <w:i w:val="0"/>
          <w:color w:val="1A1A1A"/>
          <w:sz w:val="21"/>
        </w:rPr>
        <w:t>The FLOPs lens decomposes it into physical efficiency only: hardware TFLOP/W rises ~6x (9→54 by 2040) and mix-weighted model size shrinks ~2.9x (297B→104B active). Six times 2.9 is ~17x — call it ~17–19x — the physically defensible figure. The gap between ~19x and ~122x is the algorithmic term, and Jevons says you cannot bank it: Epoch measures algorithmic progress at ~3x/yr, but that progress has historically been spent on capability (longer reasoning, more agents), not saved as a lower power bill. A power forecast must therefore use the physical denominator. This is why the FLOPs lens shows demand plateauing higher (708 vs 549 GW) and the gap closing later (2036 vs 2034). The variant perception is precisely that consensus is banking an algorithmic windfall that will be spent, not saved.</w:t>
      </w:r>
    </w:p>
    <w:p>
      <w:pPr>
        <w:pStyle w:val="Heading1"/>
      </w:pPr>
      <w:r>
        <w:rPr>
          <w:color w:val="2C3E50"/>
        </w:rPr>
        <w:t>8.  Bull / Base / Bear — why each knob is set where it is</w:t>
      </w:r>
    </w:p>
    <w:p>
      <w:r>
        <w:rPr>
          <w:i w:val="0"/>
          <w:color w:val="1A1A1A"/>
          <w:sz w:val="21"/>
        </w:rPr>
        <w:t>The Operating Model overlays four knobs on the FLOPs-lens base. Bull = power high and long (efficiency slower, supply slower, no retirement); Bear = power rolls over (efficiency faster, supply faster, capacity retires).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Knob</w:t>
            </w:r>
          </w:p>
        </w:tc>
        <w:tc>
          <w:tcPr>
            <w:tcW w:type="dxa" w:w="1728"/>
          </w:tcPr>
          <w:p>
            <w:r/>
            <w:r>
              <w:rPr>
                <w:b/>
                <w:sz w:val="18"/>
              </w:rPr>
              <w:t>Bull</w:t>
            </w:r>
          </w:p>
        </w:tc>
        <w:tc>
          <w:tcPr>
            <w:tcW w:type="dxa" w:w="1728"/>
          </w:tcPr>
          <w:p>
            <w:r/>
            <w:r>
              <w:rPr>
                <w:b/>
                <w:sz w:val="18"/>
              </w:rPr>
              <w:t>Base</w:t>
            </w:r>
          </w:p>
        </w:tc>
        <w:tc>
          <w:tcPr>
            <w:tcW w:type="dxa" w:w="1728"/>
          </w:tcPr>
          <w:p>
            <w:r/>
            <w:r>
              <w:rPr>
                <w:b/>
                <w:sz w:val="18"/>
              </w:rPr>
              <w:t>Bear</w:t>
            </w:r>
          </w:p>
        </w:tc>
        <w:tc>
          <w:tcPr>
            <w:tcW w:type="dxa" w:w="1728"/>
          </w:tcPr>
          <w:p>
            <w:r/>
            <w:r>
              <w:rPr>
                <w:b/>
                <w:sz w:val="18"/>
              </w:rPr>
              <w:t>Why this magnitude</w:t>
            </w:r>
          </w:p>
        </w:tc>
      </w:tr>
      <w:tr>
        <w:tc>
          <w:tcPr>
            <w:tcW w:type="dxa" w:w="1728"/>
          </w:tcPr>
          <w:p>
            <w:r/>
            <w:r>
              <w:rPr>
                <w:sz w:val="17"/>
              </w:rPr>
              <w:t>Token growth adj</w:t>
            </w:r>
          </w:p>
        </w:tc>
        <w:tc>
          <w:tcPr>
            <w:tcW w:type="dxa" w:w="1728"/>
          </w:tcPr>
          <w:p>
            <w:r/>
            <w:r>
              <w:rPr>
                <w:sz w:val="17"/>
              </w:rPr>
              <w:t>+2%/yr</w:t>
            </w:r>
          </w:p>
        </w:tc>
        <w:tc>
          <w:tcPr>
            <w:tcW w:type="dxa" w:w="1728"/>
          </w:tcPr>
          <w:p>
            <w:r/>
            <w:r>
              <w:rPr>
                <w:sz w:val="17"/>
              </w:rPr>
              <w:t>0</w:t>
            </w:r>
          </w:p>
        </w:tc>
        <w:tc>
          <w:tcPr>
            <w:tcW w:type="dxa" w:w="1728"/>
          </w:tcPr>
          <w:p>
            <w:r/>
            <w:r>
              <w:rPr>
                <w:sz w:val="17"/>
              </w:rPr>
              <w:t>−2%/yr</w:t>
            </w:r>
          </w:p>
        </w:tc>
        <w:tc>
          <w:tcPr>
            <w:tcW w:type="dxa" w:w="1728"/>
          </w:tcPr>
          <w:p>
            <w:r/>
            <w:r>
              <w:rPr>
                <w:sz w:val="17"/>
              </w:rPr>
              <w:t>±2%/yr compounding ≈ 1.4x / 0.7x by 2042; the honest agentic-adoption band, not a regime change</w:t>
            </w:r>
          </w:p>
        </w:tc>
      </w:tr>
      <w:tr>
        <w:tc>
          <w:tcPr>
            <w:tcW w:type="dxa" w:w="1728"/>
          </w:tcPr>
          <w:p>
            <w:r/>
            <w:r>
              <w:rPr>
                <w:sz w:val="17"/>
              </w:rPr>
              <w:t>Efficiency adj</w:t>
            </w:r>
          </w:p>
        </w:tc>
        <w:tc>
          <w:tcPr>
            <w:tcW w:type="dxa" w:w="1728"/>
          </w:tcPr>
          <w:p>
            <w:r/>
            <w:r>
              <w:rPr>
                <w:sz w:val="17"/>
              </w:rPr>
              <w:t>−1.5%/yr</w:t>
            </w:r>
          </w:p>
        </w:tc>
        <w:tc>
          <w:tcPr>
            <w:tcW w:type="dxa" w:w="1728"/>
          </w:tcPr>
          <w:p>
            <w:r/>
            <w:r>
              <w:rPr>
                <w:sz w:val="17"/>
              </w:rPr>
              <w:t>0</w:t>
            </w:r>
          </w:p>
        </w:tc>
        <w:tc>
          <w:tcPr>
            <w:tcW w:type="dxa" w:w="1728"/>
          </w:tcPr>
          <w:p>
            <w:r/>
            <w:r>
              <w:rPr>
                <w:sz w:val="17"/>
              </w:rPr>
              <w:t>+3%/yr</w:t>
            </w:r>
          </w:p>
        </w:tc>
        <w:tc>
          <w:tcPr>
            <w:tcW w:type="dxa" w:w="1728"/>
          </w:tcPr>
          <w:p>
            <w:r/>
            <w:r>
              <w:rPr>
                <w:sz w:val="17"/>
              </w:rPr>
              <w:t>Asymmetric: efficiency has more room to surprise up (FP4, algorithmic) than down (process walls)</w:t>
            </w:r>
          </w:p>
        </w:tc>
      </w:tr>
      <w:tr>
        <w:tc>
          <w:tcPr>
            <w:tcW w:type="dxa" w:w="1728"/>
          </w:tcPr>
          <w:p>
            <w:r/>
            <w:r>
              <w:rPr>
                <w:sz w:val="17"/>
              </w:rPr>
              <w:t>Retirement</w:t>
            </w:r>
          </w:p>
        </w:tc>
        <w:tc>
          <w:tcPr>
            <w:tcW w:type="dxa" w:w="1728"/>
          </w:tcPr>
          <w:p>
            <w:r/>
            <w:r>
              <w:rPr>
                <w:sz w:val="17"/>
              </w:rPr>
              <w:t>0</w:t>
            </w:r>
          </w:p>
        </w:tc>
        <w:tc>
          <w:tcPr>
            <w:tcW w:type="dxa" w:w="1728"/>
          </w:tcPr>
          <w:p>
            <w:r/>
            <w:r>
              <w:rPr>
                <w:sz w:val="17"/>
              </w:rPr>
              <w:t>0</w:t>
            </w:r>
          </w:p>
        </w:tc>
        <w:tc>
          <w:tcPr>
            <w:tcW w:type="dxa" w:w="1728"/>
          </w:tcPr>
          <w:p>
            <w:r/>
            <w:r>
              <w:rPr>
                <w:sz w:val="17"/>
              </w:rPr>
              <w:t>8%/yr</w:t>
            </w:r>
          </w:p>
        </w:tc>
        <w:tc>
          <w:tcPr>
            <w:tcW w:type="dxa" w:w="1728"/>
          </w:tcPr>
          <w:p>
            <w:r/>
            <w:r>
              <w:rPr>
                <w:sz w:val="17"/>
              </w:rPr>
              <w:t>~12.5-yr half-life of demand contribution; credible teardown/repurposing pace</w:t>
            </w:r>
          </w:p>
        </w:tc>
      </w:tr>
      <w:tr>
        <w:tc>
          <w:tcPr>
            <w:tcW w:type="dxa" w:w="1728"/>
          </w:tcPr>
          <w:p>
            <w:r/>
            <w:r>
              <w:rPr>
                <w:sz w:val="17"/>
              </w:rPr>
              <w:t>Supply build scale</w:t>
            </w:r>
          </w:p>
        </w:tc>
        <w:tc>
          <w:tcPr>
            <w:tcW w:type="dxa" w:w="1728"/>
          </w:tcPr>
          <w:p>
            <w:r/>
            <w:r>
              <w:rPr>
                <w:sz w:val="17"/>
              </w:rPr>
              <w:t>0.85</w:t>
            </w:r>
          </w:p>
        </w:tc>
        <w:tc>
          <w:tcPr>
            <w:tcW w:type="dxa" w:w="1728"/>
          </w:tcPr>
          <w:p>
            <w:r/>
            <w:r>
              <w:rPr>
                <w:sz w:val="17"/>
              </w:rPr>
              <w:t>1.0</w:t>
            </w:r>
          </w:p>
        </w:tc>
        <w:tc>
          <w:tcPr>
            <w:tcW w:type="dxa" w:w="1728"/>
          </w:tcPr>
          <w:p>
            <w:r/>
            <w:r>
              <w:rPr>
                <w:sz w:val="17"/>
              </w:rPr>
              <w:t>1.15</w:t>
            </w:r>
          </w:p>
        </w:tc>
        <w:tc>
          <w:tcPr>
            <w:tcW w:type="dxa" w:w="1728"/>
          </w:tcPr>
          <w:p>
            <w:r/>
            <w:r>
              <w:rPr>
                <w:sz w:val="17"/>
              </w:rPr>
              <w:t>±15% execution band around an already historically-unprecedented 22–30%/yr build</w:t>
            </w:r>
          </w:p>
        </w:tc>
      </w:tr>
    </w:tbl>
    <w:p>
      <w:pPr>
        <w:pStyle w:val="Heading2"/>
      </w:pPr>
      <w:r>
        <w:rPr>
          <w:color w:val="2C3E50"/>
        </w:rPr>
        <w:t>Why these magnitudes</w:t>
      </w:r>
    </w:p>
    <w:p>
      <w:pPr>
        <w:pStyle w:val="ListBullet"/>
      </w:pPr>
      <w:r>
        <w:rPr>
          <w:b/>
          <w:color w:val="1A1A1A"/>
          <w:sz w:val="21"/>
        </w:rPr>
        <w:t xml:space="preserve">Token growth ±2%/yr. </w:t>
      </w:r>
      <w:r>
        <w:rPr>
          <w:color w:val="1A1A1A"/>
          <w:sz w:val="21"/>
        </w:rPr>
        <w:t>The base path already grows 176x; ±2%/yr compounding over 17 years is ~1.4x (bull) to ~0.7x (bear) by 2042. It brackets plausible agentic adoption without the structurally-impossible agent-multiplier blowup the model explicitly rejected (a blended enterprise multiplier of 100x+ would imply more than 100% of tasks being agentic — arithmetically impossible).</w:t>
      </w:r>
    </w:p>
    <w:p>
      <w:pPr>
        <w:pStyle w:val="ListBullet"/>
      </w:pPr>
      <w:r>
        <w:rPr>
          <w:b/>
          <w:color w:val="1A1A1A"/>
          <w:sz w:val="21"/>
        </w:rPr>
        <w:t xml:space="preserve">Efficiency −1.5% bull vs +3% bear (asymmetric). </w:t>
      </w:r>
      <w:r>
        <w:rPr>
          <w:color w:val="1A1A1A"/>
          <w:sz w:val="21"/>
        </w:rPr>
        <w:t>Sign convention: + means faster TFLOP/W = less power. The bear adjustment is twice as large because efficiency has more room to surprise to the upside (bearish for power): FP4-native inference, sub-4-bit, algorithmic breakthroughs (Epoch's ~3x/yr already outruns hardware), new architectures. The downside (efficiency slowing) requires hitting process/packaging walls — real but slower-moving and partly routed around by chiplets. The distribution is right-skewed toward faster efficiency, and the asymmetric knob encodes exactly that — the model tilts the efficiency risk against its own power thesis.</w:t>
      </w:r>
    </w:p>
    <w:p>
      <w:pPr>
        <w:pStyle w:val="ListBullet"/>
      </w:pPr>
      <w:r>
        <w:rPr>
          <w:b/>
          <w:color w:val="1A1A1A"/>
          <w:sz w:val="21"/>
        </w:rPr>
        <w:t xml:space="preserve">Retirement 8%/yr (bear). </w:t>
      </w:r>
      <w:r>
        <w:rPr>
          <w:color w:val="1A1A1A"/>
          <w:sz w:val="21"/>
        </w:rPr>
        <w:t>GPU useful life is ~5–6 years; the shell lives 15–30. 8%/yr floor-decay implies the deployed base stops counting as binding demand on a ~12.5-year half-life — reasonable once you account for repurposing (old GPUs shifted to low-value batch work rather than powered off). Base case is 0% (strict floor); 8%/yr is the bear's “the 2030s are a cliff, not a plateau” expression, and the single biggest out-year swing factor.</w:t>
      </w:r>
    </w:p>
    <w:p>
      <w:pPr>
        <w:pStyle w:val="ListBullet"/>
      </w:pPr>
      <w:r>
        <w:rPr>
          <w:b/>
          <w:color w:val="1A1A1A"/>
          <w:sz w:val="21"/>
        </w:rPr>
        <w:t xml:space="preserve">Supply build scale ±15%. </w:t>
      </w:r>
      <w:r>
        <w:rPr>
          <w:color w:val="1A1A1A"/>
          <w:sz w:val="21"/>
        </w:rPr>
        <w:t>Brackets execution on the physical bottlenecks. Bull 0.85 (slower build, bigger gap): transformers at 100–210 weeks, single-source GOES, interconnect failures, the labor pipeline. Bear 1.15 (faster, gap closes): queue reform, new domestic transformer capacity on time, behind-the-meter nuclear bypassing the queue. ±15% is right because the build is already assumed to run at an unprecedented 22–30%/yr — there isn't ±50% of realistic headroom.</w:t>
      </w:r>
    </w:p>
    <w:p>
      <w:pPr>
        <w:pStyle w:val="Heading2"/>
      </w:pPr>
      <w:r>
        <w:rPr>
          <w:color w:val="2C3E50"/>
        </w:rPr>
        <w:t>The investment read</w:t>
      </w:r>
    </w:p>
    <w:p>
      <w:r>
        <w:rPr>
          <w:i w:val="0"/>
          <w:color w:val="1A1A1A"/>
          <w:sz w:val="21"/>
        </w:rPr>
        <w:t>The peak-gap spread is ~121 to ~526 GW (Bear to Bull). That ~4x range is itself the message: in every scenario there is a multi-year shortfall measured in hundreds of reactors' worth of power; the disagreement is about duration and magnitude, not existence. Even the bear (121 GW, closing earliest) is a ~120-reactor shortfall.</w:t>
      </w:r>
    </w:p>
    <w:p>
      <w:r>
        <w:rPr>
          <w:i w:val="0"/>
          <w:color w:val="1A1A1A"/>
          <w:sz w:val="21"/>
        </w:rPr>
        <w:t>For the names: generation (GEV gas-turbine slots rationed to 2028+; CEG/TLN behind-the-meter nuclear as the interconnect bypass; VST/NRG dispatchable capacity); the transformer/GOES complex (CLF the single most mispriced node — a sole-source US GOES franchise trading as commodity steel); and cooling/electrical (VRT liquid cooling, mandatory by physics above 35 kW/rack).</w:t>
      </w:r>
    </w:p>
    <w:p>
      <w:r>
        <w:rPr>
          <w:i w:val="0"/>
          <w:color w:val="1A1A1A"/>
          <w:sz w:val="21"/>
        </w:rPr>
        <w:t>The duration argument is the edge. Consensus power models lean on the token-lens / blended-efficiency framing and conclude the gap rolls over in the early-mid 2030s — pricing the power names as a 2025–28 cyclical that fades. The variant perception is that this rollover is too early, because it banks an algorithmic-efficiency windfall (~122x) that Jevons says gets spent, not saved. Strip it to the physical denominator (~17–19x) and the demand floor is ~29% higher, the gap closes ~2036 not 2034, and there is no out-year collapse. The trade this implies: the power/grid/cooling complex is a structurally tight build through the mid-2030s, not a cyclical that fades in 2029 — and the market is pricing the consensus rollover. The risk to the view is the bear efficiency lever, which is exactly why the model tilts the efficiency asymmetry against itself, so the duration call survives even when it gives efficiency the benefit of the doubt.</w:t>
      </w:r>
    </w:p>
    <w:p>
      <w:pPr>
        <w:pStyle w:val="Heading1"/>
      </w:pPr>
      <w:r>
        <w:rPr>
          <w:color w:val="2C3E50"/>
        </w:rPr>
        <w:t>9.  A note on trust and honest caveats</w:t>
      </w:r>
    </w:p>
    <w:p>
      <w:r>
        <w:rPr>
          <w:i w:val="0"/>
          <w:color w:val="1A1A1A"/>
          <w:sz w:val="21"/>
        </w:rPr>
        <w:t>Every formula in the workbook's power tabs has been independently re-evaluated and ties out to its displayed value, and the committed base case is fingerprint-locked so accidental drift is caught. Three things to keep in mind when defending the work:</w:t>
      </w:r>
    </w:p>
    <w:p>
      <w:pPr>
        <w:pStyle w:val="ListBullet"/>
      </w:pPr>
      <w:r>
        <w:rPr>
          <w:b/>
          <w:color w:val="1A1A1A"/>
          <w:sz w:val="21"/>
        </w:rPr>
        <w:t xml:space="preserve">Absolute GW is anchored, not derived. </w:t>
      </w:r>
      <w:r>
        <w:rPr>
          <w:color w:val="1A1A1A"/>
          <w:sz w:val="21"/>
        </w:rPr>
        <w:t>Trust the shape and timing (when the gap peaks, when it closes) more than any single year's exact GW.</w:t>
      </w:r>
    </w:p>
    <w:p>
      <w:pPr>
        <w:pStyle w:val="ListBullet"/>
      </w:pPr>
      <w:r>
        <w:rPr>
          <w:b/>
          <w:color w:val="1A1A1A"/>
          <w:sz w:val="21"/>
        </w:rPr>
        <w:t xml:space="preserve">The 1.85-yr doubling is the most aggressive externally-checkable input. </w:t>
      </w:r>
      <w:r>
        <w:rPr>
          <w:color w:val="1A1A1A"/>
          <w:sz w:val="21"/>
        </w:rPr>
        <w:t>It is faster than Epoch's current ~2.0-yr headline, and it cuts against the power thesis — so if anyone calls the model too power-bullish, this parameter is the defense.</w:t>
      </w:r>
    </w:p>
    <w:p>
      <w:pPr>
        <w:pStyle w:val="ListBullet"/>
      </w:pPr>
      <w:r>
        <w:rPr>
          <w:b/>
          <w:color w:val="1A1A1A"/>
          <w:sz w:val="21"/>
        </w:rPr>
        <w:t xml:space="preserve">The FLOPs peak is a lens, not a hard forecast. </w:t>
      </w:r>
      <w:r>
        <w:rPr>
          <w:color w:val="1A1A1A"/>
          <w:sz w:val="21"/>
        </w:rPr>
        <w:t>The N_active tiers are illustrative by the model's own admission; the committed headline stays the 332 GW token base, with FLOPs as the duration view. And the ~750–850 GW “agentic” case some may have seen was deliberately rejected — it required a structurally impossible &gt;100% agentic task penetration.</w:t>
      </w:r>
    </w:p>
    <w:p>
      <w:r>
        <w:rPr>
          <w:i/>
          <w:color w:val="1A1A1A"/>
          <w:sz w:val="21"/>
        </w:rPr>
        <w:t>The point of the model is not a precise number; it is a defensible framework for diving into the assumptions and dimensioning the most likely outcomes.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