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Storytelling - Customizando a aplicação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Técnica de StoryTelling, com foco nos requisitos necessários para a realização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das configurações possíveis para um usuário logado na plataforma Medium.. As referências de funcionamento do Medium foram tiradas de experiência própria a partir da utilização da plataforma.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Maria é uma usuária ávida da aplicação Medium, tanto em sua plataforma mobile quanto em sua plataforma web. Em todo seu tempo vago ela para e lê um artigo ou ouve um podcast. Em uma dessas leituras, Maria decide visualizar quais são as principais formas de configuração e personalização que a aplicação disponibiliza, tanto para ela, quanto para questões gerais do próprio site ou aplicativo.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acessar a página de ‘settings’ se depara com diversas guias, essas guias tinham os seguintes enfoques: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Edição de nome de perfil;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Configurações de email;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Privacidade;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Usuários bloqueados;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Modo noturno;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Conexões;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Conta;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Membro (pago);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ab/>
        <w:t xml:space="preserve">Além de poder visualizar: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Tutoriais da plataforma;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Glossários;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Perguntas de satisfação;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Ajuda;</w:t>
      </w:r>
    </w:p>
    <w:p w:rsidR="00000000" w:rsidDel="00000000" w:rsidP="00000000" w:rsidRDefault="00000000" w:rsidRPr="00000000" w14:paraId="00000017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acessar a guia de configuração geral e e-mails, Maria percebeu que é possível alterar o e-mail cadastrado, viu que é possível configurar o período em que ocorrem as sugestões de artigos, e gerenciar os seus boletins informativos, podendo também configurar as recomendações de histórias, notificações de publicações e entre outras.</w:t>
        <w:tab/>
        <w:t xml:space="preserve"> Ao acessar a guia de conexões percebeu que era possível se conectar pelo facebook ou google e gerenciar a possibilidade de compartilhar via essas redes sociais.</w:t>
      </w:r>
    </w:p>
    <w:p w:rsidR="00000000" w:rsidDel="00000000" w:rsidP="00000000" w:rsidRDefault="00000000" w:rsidRPr="00000000" w14:paraId="00000018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Em relação as suas configurações de conta se surpreendeu pelas possibilidades de edição do nome de usuário, gerências de notificações vindas de outros usuários e gerência dos mesmos e a incrível opção de fazer o download de seus dados.</w:t>
      </w:r>
    </w:p>
    <w:p w:rsidR="00000000" w:rsidDel="00000000" w:rsidP="00000000" w:rsidRDefault="00000000" w:rsidRPr="00000000" w14:paraId="00000019">
      <w:pPr>
        <w:spacing w:line="331.2" w:lineRule="auto"/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Em  face à área de configurações de segurança, se sentiu aliviada pois podia se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deslogar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de outras sessões ativas, desativar ou deletar sua conta.</w:t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-regular.ttf"/><Relationship Id="rId2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