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28"/>
        </w:rPr>
        <w:br/>
        <w:br/>
        <w:br/>
      </w:r>
    </w:p>
    <w:p>
      <w:pPr>
        <w:jc w:val="center"/>
      </w:pPr>
      <w:r>
        <w:rPr>
          <w:rFonts w:ascii="Calibri" w:hAnsi="Calibri"/>
          <w:b/>
          <w:color w:val="1F3864"/>
          <w:sz w:val="48"/>
        </w:rPr>
        <w:t>DEPARA TECNICO</w:t>
      </w:r>
    </w:p>
    <w:p>
      <w:pPr>
        <w:jc w:val="center"/>
      </w:pPr>
      <w:r>
        <w:rPr>
          <w:rFonts w:ascii="Calibri" w:hAnsi="Calibri"/>
          <w:b/>
          <w:color w:val="1F3864"/>
          <w:sz w:val="36"/>
        </w:rPr>
        <w:t>Monitoramento ME BR — Migracao v1 para v2</w:t>
      </w:r>
    </w:p>
    <w:p>
      <w:pPr>
        <w:jc w:val="center"/>
      </w:pPr>
      <w:r>
        <w:rPr>
          <w:rFonts w:ascii="Calibri" w:hAnsi="Calibri"/>
          <w:color w:val="595959"/>
          <w:sz w:val="26"/>
        </w:rPr>
        <w:t>Mapeamento coluna a coluna das 16 tabelas antigas</w:t>
        <w:br/>
        <w:t>para as 5 tabelas consolidadas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2F3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Documento</w:t>
            </w:r>
          </w:p>
        </w:tc>
        <w:tc>
          <w:tcPr>
            <w:tcW w:type="dxa" w:w="5669"/>
            <w:vAlign w:val="cente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sz w:val="22"/>
              </w:rPr>
              <w:t>Depara v1 -&gt; v2 — Monitoramento ME BR</w:t>
            </w:r>
          </w:p>
        </w:tc>
      </w:tr>
      <w:tr>
        <w:tc>
          <w:tcPr>
            <w:tcW w:type="dxa" w:w="2835"/>
            <w:vAlign w:val="center"/>
            <w:shd w:fill="D9E2F3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Versao</w:t>
            </w:r>
          </w:p>
        </w:tc>
        <w:tc>
          <w:tcPr>
            <w:tcW w:type="dxa" w:w="5669"/>
            <w:vAlign w:val="cente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2835"/>
            <w:vAlign w:val="center"/>
            <w:shd w:fill="D9E2F3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Data</w:t>
            </w:r>
          </w:p>
        </w:tc>
        <w:tc>
          <w:tcPr>
            <w:tcW w:type="dxa" w:w="5669"/>
            <w:vAlign w:val="cente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sz w:val="22"/>
              </w:rPr>
              <w:t>2026-05-26</w:t>
            </w:r>
          </w:p>
        </w:tc>
      </w:tr>
      <w:tr>
        <w:tc>
          <w:tcPr>
            <w:tcW w:type="dxa" w:w="2835"/>
            <w:vAlign w:val="center"/>
            <w:shd w:fill="D9E2F3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Destinatario</w:t>
            </w:r>
          </w:p>
        </w:tc>
        <w:tc>
          <w:tcPr>
            <w:tcW w:type="dxa" w:w="5669"/>
            <w:vAlign w:val="cente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sz w:val="22"/>
              </w:rPr>
              <w:t>Time de Business Intelligence</w:t>
            </w:r>
          </w:p>
        </w:tc>
      </w:tr>
      <w:tr>
        <w:tc>
          <w:tcPr>
            <w:tcW w:type="dxa" w:w="2835"/>
            <w:vAlign w:val="center"/>
            <w:shd w:fill="D9E2F3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Finalidade</w:t>
            </w:r>
          </w:p>
        </w:tc>
        <w:tc>
          <w:tcPr>
            <w:tcW w:type="dxa" w:w="5669"/>
            <w:vAlign w:val="center"/>
            <w:tcBorders>
              <w:top w:val="single" w:sz="4" w:color="1F3864"/>
              <w:left w:val="single" w:sz="4" w:color="1F3864"/>
              <w:bottom w:val="single" w:sz="4" w:color="1F3864"/>
              <w:right w:val="single" w:sz="4" w:color="1F3864"/>
            </w:tcBorders>
          </w:tcPr>
          <w:p>
            <w:r/>
            <w:r>
              <w:rPr>
                <w:rFonts w:ascii="Calibri" w:hAnsi="Calibri"/>
                <w:sz w:val="22"/>
              </w:rPr>
              <w:t>Reapontamento de fontes do Power BI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F3864"/>
          <w:sz w:val="40"/>
        </w:rPr>
        <w:t>1. Introducao</w:t>
      </w:r>
    </w:p>
    <w:p>
      <w:pPr>
        <w:pBdr>
          <w:bottom w:val="single" w:sz="6" w:color="1F3864"/>
        </w:pBdr>
      </w:pPr>
    </w:p>
    <w:p>
      <w:r>
        <w:t>Este documento apresenta o mapeamento tecnico, coluna a coluna, das 16 tabelas do antigo padrao Excel (replicadas em Delta no schema 'teste') para as 5 tabelas consolidadas do novo padrao em 'ds_catalog_dev.credit_engine'.</w:t>
      </w:r>
    </w:p>
    <w:p>
      <w:r>
        <w:t>A consolidacao foi motivada por duas razoes principais: (1) reducao de duplicidade — varias das tabelas antigas armazenavam metricas correlatas em linhas separadas com a coluna 'value' generica; (2) padronizacao de tipos e unidades — bad rate agora sempre em % (0-100), reference_month sempre em DATE, metric_key sempre fixo em 'monitoring'.</w:t>
      </w:r>
    </w:p>
    <w:p>
      <w:r>
        <w:t>Cada tabela v1 tem uma secao dedicada listando TODAS as suas colunas e indicando exatamente onde elas estao na nova estrutura, ou se foram removidas/transformadas.</w:t>
      </w:r>
    </w:p>
    <w:p>
      <w:r>
        <w:rPr>
          <w:rFonts w:ascii="Calibri" w:hAnsi="Calibri"/>
          <w:b/>
          <w:color w:val="1F3864"/>
          <w:sz w:val="32"/>
        </w:rPr>
        <w:t>2. Catalogos e nomes plenamente qualificados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6803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Catalogo / Schema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Antes (v1)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teste.&lt;tabela&gt;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Depois (v2)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ds_catalog_dev.credit_engine.&lt;tabela&gt;</w:t>
            </w:r>
          </w:p>
        </w:tc>
      </w:tr>
    </w:tbl>
    <w:p/>
    <w:p>
      <w:r>
        <w:rPr>
          <w:rFonts w:ascii="Calibri" w:hAnsi="Calibri"/>
          <w:b/>
          <w:color w:val="1F3864"/>
          <w:sz w:val="32"/>
        </w:rPr>
        <w:t>3. Legenda de status das colunas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37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181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Mesmo nome, mesma tabela, mesmo tipo. Nenhuma acao necessaria.</w:t>
            </w:r>
          </w:p>
        </w:tc>
      </w:tr>
      <w:tr>
        <w:tc>
          <w:tcPr>
            <w:tcW w:type="dxa" w:w="181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Mesmo conteudo, mas com novo nome na v2. Atualizar referencia.</w:t>
            </w:r>
          </w:p>
        </w:tc>
      </w:tr>
      <w:tr>
        <w:tc>
          <w:tcPr>
            <w:tcW w:type="dxa" w:w="1814"/>
            <w:shd w:fill="6A1B9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MOVIDO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Coluna agora vive em outra tabela. Trocar fonte de dados.</w:t>
            </w:r>
          </w:p>
        </w:tc>
      </w:tr>
      <w:tr>
        <w:tc>
          <w:tcPr>
            <w:tcW w:type="dxa" w:w="181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Conteudo passou a ser representado de forma diferente (unpivot, concat, etc.). Requer ajuste de query.</w:t>
            </w:r>
          </w:p>
        </w:tc>
      </w:tr>
      <w:tr>
        <w:tc>
          <w:tcPr>
            <w:tcW w:type="dxa" w:w="181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Coluna nao existe explicitamente; pode ser calculada (ex: YEAR(reference_month)).</w:t>
            </w:r>
          </w:p>
        </w:tc>
      </w:tr>
      <w:tr>
        <w:tc>
          <w:tcPr>
            <w:tcW w:type="dxa" w:w="1814"/>
            <w:shd w:fill="C628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REMOVIDO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Coluna nao tem equivalente na v2. Deve ser eliminada do dashboard.</w:t>
            </w:r>
          </w:p>
        </w:tc>
      </w:tr>
    </w:tbl>
    <w:p/>
    <w:p>
      <w:r>
        <w:rPr>
          <w:rFonts w:ascii="Calibri" w:hAnsi="Calibri"/>
          <w:b/>
          <w:color w:val="1F3864"/>
          <w:sz w:val="32"/>
        </w:rPr>
        <w:t>4. Resumo executivo — visao 16 -&gt;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v1 (antiga)</w:t>
            </w:r>
          </w:p>
        </w:tc>
        <w:tc>
          <w:tcPr>
            <w:tcW w:type="dxa" w:w="4252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 (nova)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performance_me_br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monitoring_metrics_me_br</w:t>
            </w:r>
          </w:p>
        </w:tc>
      </w:tr>
      <w:tr>
        <w:tc>
          <w:tcPr>
            <w:tcW w:type="dxa" w:w="68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dist_por_decil_me_br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monitoring_band_me_br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dist_por_decil_diff_pp_me_br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monitoring_band_me_br</w:t>
            </w:r>
          </w:p>
        </w:tc>
      </w:tr>
      <w:tr>
        <w:tc>
          <w:tcPr>
            <w:tcW w:type="dxa" w:w="68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perc_bad_decil_me_br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monitoring_band_me_br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perc_bad_decil_diff_pp_me_br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monitoring_band_me_br</w:t>
            </w:r>
          </w:p>
        </w:tc>
      </w:tr>
      <w:tr>
        <w:tc>
          <w:tcPr>
            <w:tcW w:type="dxa" w:w="68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df_dist_bad_decil_me_br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monitoring_band_me_br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df_dist_bad_decil_diff_pp_me_br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monitoring_band_me_br</w:t>
            </w:r>
          </w:p>
        </w:tc>
      </w:tr>
      <w:tr>
        <w:tc>
          <w:tcPr>
            <w:tcW w:type="dxa" w:w="68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iep_por_decil_me_br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monitoring_band_me_br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decile_migrations_me_br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monitoring_band_migrations_me_br</w:t>
            </w:r>
          </w:p>
        </w:tc>
      </w:tr>
      <w:tr>
        <w:tc>
          <w:tcPr>
            <w:tcW w:type="dxa" w:w="68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iep_me_br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monitoring_features_me_br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iep_vars_me_br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monitoring_features_me_br</w:t>
            </w:r>
          </w:p>
        </w:tc>
      </w:tr>
      <w:tr>
        <w:tc>
          <w:tcPr>
            <w:tcW w:type="dxa" w:w="68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dist_vars_me_br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monitoring_features_me_br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dist_vars_diff_pp_me_br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monitoring_features_me_br</w:t>
            </w:r>
          </w:p>
        </w:tc>
      </w:tr>
      <w:tr>
        <w:tc>
          <w:tcPr>
            <w:tcW w:type="dxa" w:w="68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vol_vars_me_br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monitoring_features_me_br</w:t>
            </w:r>
          </w:p>
        </w:tc>
      </w:tr>
      <w:tr>
        <w:tc>
          <w:tcPr>
            <w:tcW w:type="dxa" w:w="6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risco_relativo_me_br</w:t>
            </w:r>
          </w:p>
        </w:tc>
        <w:tc>
          <w:tcPr>
            <w:tcW w:type="dxa" w:w="42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monitoring_features_me_br</w:t>
            </w:r>
          </w:p>
        </w:tc>
      </w:tr>
      <w:tr>
        <w:tc>
          <w:tcPr>
            <w:tcW w:type="dxa" w:w="68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risco_relativo_trigger_me_br</w:t>
            </w:r>
          </w:p>
        </w:tc>
        <w:tc>
          <w:tcPr>
            <w:tcW w:type="dxa" w:w="4252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monitoring_features_me_br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F3864"/>
          <w:sz w:val="40"/>
        </w:rPr>
        <w:t>5. Depara coluna a coluna</w:t>
      </w:r>
    </w:p>
    <w:p>
      <w:pPr>
        <w:pBdr>
          <w:bottom w:val="single" w:sz="6" w:color="1F3864"/>
        </w:pBdr>
      </w:pPr>
    </w:p>
    <w:p>
      <w:r>
        <w:t>As 16 secoes a seguir listam, para cada tabela v1, todas as suas colunas originais e a correspondencia exata na estrutura v2.</w:t>
      </w:r>
    </w:p>
    <w:p>
      <w:r>
        <w:rPr>
          <w:rFonts w:ascii="Calibri" w:hAnsi="Calibri"/>
          <w:b/>
          <w:color w:val="1F3864"/>
          <w:sz w:val="28"/>
        </w:rPr>
        <w:t xml:space="preserve">5.1. </w:t>
      </w:r>
      <w:r>
        <w:rPr>
          <w:rFonts w:ascii="Consolas" w:hAnsi="Consolas"/>
          <w:b/>
          <w:color w:val="000000"/>
          <w:sz w:val="28"/>
        </w:rPr>
        <w:t>performance_me_br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Performance do modelo (KS, ROC) por safra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teste.performance_me_br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ds_catalog_dev.credit_engine.monitoring_metrics_me_br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Tabela longa (1 linha por metrica) virou wide: cada metrica vira uma coluna (ks, roc_auc, gini) em uma unica linha por safra. Use UNPIVOT para reconstruir o formato antigo se necessario.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performance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Nome da metrica (ks/roc)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monitoring_metrics_me_br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Virou coluna: 'ks' -&gt; coluna ks, 'roc' -&gt; coluna roc_auc, novo 'gini' adicionado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'Train' ou 'YYYY/MM'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monitoring_metrics_me_br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Valor da metrica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monitoring_metrics_me_br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ks / roc_auc / gini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Distribuido em colunas tipadas; valor em [0,1]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 ('me')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monitoring_metrics_me_br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 da metrica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monitoring_metrics_me_br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Antes variava ('roc','ks',...). Agora fixo 'monitoring'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monitoring_metrics_me_br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Derivar do DATE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 (1-12)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monitoring_metrics_me_br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ATENCAO: nome reciclado. Em v2 'reference_month' eh DATE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 de carga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monitoring_metrics_me_br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r>
        <w:rPr>
          <w:rFonts w:ascii="Calibri" w:hAnsi="Calibri"/>
          <w:b/>
          <w:color w:val="1F3864"/>
          <w:sz w:val="28"/>
        </w:rPr>
        <w:t xml:space="preserve">5.2. </w:t>
      </w:r>
      <w:r>
        <w:rPr>
          <w:rFonts w:ascii="Consolas" w:hAnsi="Consolas"/>
          <w:b/>
          <w:color w:val="000000"/>
          <w:sz w:val="28"/>
        </w:rPr>
        <w:t>dist_por_decil_me_br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Distribuicao da populacao por banda (decil 1-3 + -1)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teste.dist_por_decil_me_br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ds_catalog_dev.credit_engine.monitoring_band_me_br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Coluna 'value' virou 'pct_pop'. Coluna 'decil' virou 'band' (renomeada). Filtrar band IN (1, 2, 3, -1) para reproduzir a tabela antiga.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decil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 (1=BAIXO, 2=MEDIO, 3=ALTO, -1=Missing)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band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'Train' ou 'YYYY/MM'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% populacao na banda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pct_pop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Mesma escala (0-100)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Fixo 'monitoring' agora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Coluna 'reference_month' em v2 eh DATE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>
      <w:r>
        <w:br w:type="page"/>
      </w:r>
    </w:p>
    <w:p/>
    <w:p>
      <w:r>
        <w:rPr>
          <w:rFonts w:ascii="Calibri" w:hAnsi="Calibri"/>
          <w:b/>
          <w:color w:val="1F3864"/>
          <w:sz w:val="28"/>
        </w:rPr>
        <w:t xml:space="preserve">5.3. </w:t>
      </w:r>
      <w:r>
        <w:rPr>
          <w:rFonts w:ascii="Consolas" w:hAnsi="Consolas"/>
          <w:b/>
          <w:color w:val="000000"/>
          <w:sz w:val="28"/>
        </w:rPr>
        <w:t>dist_por_decil_diff_pp_me_br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Diferenca em pp da distribuicao vs Train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teste.dist_por_decil_diff_pp_me_br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ds_catalog_dev.credit_engine.monitoring_band_me_br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Mesma tabela_v2 que dist_por_decil; 'value' virou coluna 'pct_pop_diff_pp'.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decil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band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Diff em pp vs Train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pct_pop_diff_pp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Fixo 'monitoring'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r>
        <w:rPr>
          <w:rFonts w:ascii="Calibri" w:hAnsi="Calibri"/>
          <w:b/>
          <w:color w:val="1F3864"/>
          <w:sz w:val="28"/>
        </w:rPr>
        <w:t xml:space="preserve">5.4. </w:t>
      </w:r>
      <w:r>
        <w:rPr>
          <w:rFonts w:ascii="Consolas" w:hAnsi="Consolas"/>
          <w:b/>
          <w:color w:val="000000"/>
          <w:sz w:val="28"/>
        </w:rPr>
        <w:t>perc_bad_decil_me_br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Bad rate (%) por banda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teste.perc_bad_decil_me_br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ds_catalog_dev.credit_engine.monitoring_band_me_br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'bad_rate'. ATENCAO: v2 padroniza em % (0-100).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decil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band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Bad rate (%)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bad_rate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% (0-100) padronizado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>
      <w:r>
        <w:br w:type="page"/>
      </w:r>
    </w:p>
    <w:p/>
    <w:p>
      <w:r>
        <w:rPr>
          <w:rFonts w:ascii="Calibri" w:hAnsi="Calibri"/>
          <w:b/>
          <w:color w:val="1F3864"/>
          <w:sz w:val="28"/>
        </w:rPr>
        <w:t xml:space="preserve">5.5. </w:t>
      </w:r>
      <w:r>
        <w:rPr>
          <w:rFonts w:ascii="Consolas" w:hAnsi="Consolas"/>
          <w:b/>
          <w:color w:val="000000"/>
          <w:sz w:val="28"/>
        </w:rPr>
        <w:t>perc_bad_decil_diff_pp_me_br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Diferenca em pp do bad rate por banda vs Train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teste.perc_bad_decil_diff_pp_me_br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ds_catalog_dev.credit_engine.monitoring_band_me_br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'bad_rate_diff_pp'.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decil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band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Diff em pp vs Train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bad_rate_diff_pp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r>
        <w:rPr>
          <w:rFonts w:ascii="Calibri" w:hAnsi="Calibri"/>
          <w:b/>
          <w:color w:val="1F3864"/>
          <w:sz w:val="28"/>
        </w:rPr>
        <w:t xml:space="preserve">5.6. </w:t>
      </w:r>
      <w:r>
        <w:rPr>
          <w:rFonts w:ascii="Consolas" w:hAnsi="Consolas"/>
          <w:b/>
          <w:color w:val="000000"/>
          <w:sz w:val="28"/>
        </w:rPr>
        <w:t>df_dist_bad_decil_me_br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Concentracao de bads (% dos bads em cada banda)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teste.df_dist_bad_decil_me_br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ds_catalog_dev.credit_engine.monitoring_band_me_br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'pct_bad_share'.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decil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band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% dos bads na banda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pct_bad_share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>
      <w:r>
        <w:br w:type="page"/>
      </w:r>
    </w:p>
    <w:p/>
    <w:p>
      <w:r>
        <w:rPr>
          <w:rFonts w:ascii="Calibri" w:hAnsi="Calibri"/>
          <w:b/>
          <w:color w:val="1F3864"/>
          <w:sz w:val="28"/>
        </w:rPr>
        <w:t xml:space="preserve">5.7. </w:t>
      </w:r>
      <w:r>
        <w:rPr>
          <w:rFonts w:ascii="Consolas" w:hAnsi="Consolas"/>
          <w:b/>
          <w:color w:val="000000"/>
          <w:sz w:val="28"/>
        </w:rPr>
        <w:t>df_dist_bad_decil_diff_pp_me_br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Diferenca em pp da concentracao de bads vs Train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teste.df_dist_bad_decil_diff_pp_me_br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ds_catalog_dev.credit_engine.monitoring_band_me_br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'pct_bad_share_diff_pp'.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decil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band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Diff em pp vs Train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pct_bad_share_diff_pp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r>
        <w:rPr>
          <w:rFonts w:ascii="Calibri" w:hAnsi="Calibri"/>
          <w:b/>
          <w:color w:val="1F3864"/>
          <w:sz w:val="28"/>
        </w:rPr>
        <w:t xml:space="preserve">5.8. </w:t>
      </w:r>
      <w:r>
        <w:rPr>
          <w:rFonts w:ascii="Consolas" w:hAnsi="Consolas"/>
          <w:b/>
          <w:color w:val="000000"/>
          <w:sz w:val="28"/>
        </w:rPr>
        <w:t>iep_por_decil_me_br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Contribuicao PSI por banda (decil=100 eh o total)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teste.iep_por_decil_me_br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ds_catalog_dev.credit_engine.monitoring_band_me_br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'psi_contribution'. decil=100 (total) preservado em band=100.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decil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 (100 = total)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band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band=100 = PSI total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Contribuicao PSI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psi_contribution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>
      <w:r>
        <w:br w:type="page"/>
      </w:r>
    </w:p>
    <w:p/>
    <w:p>
      <w:r>
        <w:rPr>
          <w:rFonts w:ascii="Calibri" w:hAnsi="Calibri"/>
          <w:b/>
          <w:color w:val="1F3864"/>
          <w:sz w:val="28"/>
        </w:rPr>
        <w:t xml:space="preserve">5.9. </w:t>
      </w:r>
      <w:r>
        <w:rPr>
          <w:rFonts w:ascii="Consolas" w:hAnsi="Consolas"/>
          <w:b/>
          <w:color w:val="000000"/>
          <w:sz w:val="28"/>
        </w:rPr>
        <w:t>decile_migrations_me_br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Matriz de migracao banda(m-1) -&gt; banda(m)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teste.decile_migrations_me_br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ds_catalog_dev.credit_engine.monitoring_band_migrations_me_br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Colunas 'previous_decile'/'current_decile' renomeadas para 'previous_band'/'current_band'. Coluna 'update_at' (typo) REMOVIDA.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previous_decile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 anterior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previous_band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current_decile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Banda atual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current_band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count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Qtde de clientes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count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Fixo 'monitoring'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monitoring_band_migrations_me_br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Duplicata (typo do padrao)</w:t>
            </w:r>
          </w:p>
        </w:tc>
        <w:tc>
          <w:tcPr>
            <w:tcW w:type="dxa" w:w="1134"/>
            <w:shd w:fill="C628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REMOVIDO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—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Coluna duplicada (typo) eliminada</w:t>
            </w:r>
          </w:p>
        </w:tc>
      </w:tr>
    </w:tbl>
    <w:p/>
    <w:p>
      <w:r>
        <w:rPr>
          <w:rFonts w:ascii="Calibri" w:hAnsi="Calibri"/>
          <w:b/>
          <w:color w:val="1F3864"/>
          <w:sz w:val="28"/>
        </w:rPr>
        <w:t xml:space="preserve">5.10. </w:t>
      </w:r>
      <w:r>
        <w:rPr>
          <w:rFonts w:ascii="Consolas" w:hAnsi="Consolas"/>
          <w:b/>
          <w:color w:val="000000"/>
          <w:sz w:val="28"/>
        </w:rPr>
        <w:t>iep_me_br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PSI por feature (sem dimensao de bin)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teste.iep_me_br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ds_catalog_dev.credit_engine.monitoring_features_me_br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'psi_feature'. ATENCAO: em v2 o PSI eh repetido em todos os bins da feature. Use SELECT DISTINCT (feature_name, period, psi_feature).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variaveis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Nome da feature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feature_name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Coluna 'variaveis' separada em 'feature_name' + 'bin_label'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PSI da feature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psi_feature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Repetido em todos os bins; usar DISTINCT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>
      <w:r>
        <w:br w:type="page"/>
      </w:r>
    </w:p>
    <w:p/>
    <w:p>
      <w:r>
        <w:rPr>
          <w:rFonts w:ascii="Calibri" w:hAnsi="Calibri"/>
          <w:b/>
          <w:color w:val="1F3864"/>
          <w:sz w:val="28"/>
        </w:rPr>
        <w:t xml:space="preserve">5.11. </w:t>
      </w:r>
      <w:r>
        <w:rPr>
          <w:rFonts w:ascii="Consolas" w:hAnsi="Consolas"/>
          <w:b/>
          <w:color w:val="000000"/>
          <w:sz w:val="28"/>
        </w:rPr>
        <w:t>iep_vars_me_br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PSI da feature dentro do grupo (mesma metrica de iep, com grupo)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teste.iep_vars_me_br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ds_catalog_dev.credit_engine.monitoring_features_me_br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ATENCAO MUDANCA DE SEMANTICA: 'value' virou 'psi_within_group' que agora eh o share fracionario (0-1) da feature dentro do PSI do grupo. Se voce queria o PSI absoluto, use 'psi_feature'. Tambem repetido em todos os bins (usar DISTINCT).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variaveis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Nome da feature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feature_name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Grupo de negocio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PSI dentro do grupo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psi_within_group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MUDANCA SEMANTICA: era PSI absoluto, agora eh share 0-1. Para valor absoluto: use psi_feature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r>
        <w:rPr>
          <w:rFonts w:ascii="Calibri" w:hAnsi="Calibri"/>
          <w:b/>
          <w:color w:val="1F3864"/>
          <w:sz w:val="28"/>
        </w:rPr>
        <w:t xml:space="preserve">5.12. </w:t>
      </w:r>
      <w:r>
        <w:rPr>
          <w:rFonts w:ascii="Consolas" w:hAnsi="Consolas"/>
          <w:b/>
          <w:color w:val="000000"/>
          <w:sz w:val="28"/>
        </w:rPr>
        <w:t>dist_vars_me_br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Distribuicao da populacao por feature x bin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teste.dist_vars_me_br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ds_catalog_dev.credit_engine.monitoring_features_me_br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Coluna 'variaveis' continha 'feature=bin' concatenado. Em v2 separada em 'feature_name' + 'bin_label'. Para reconstruir: CONCAT(feature_name, '=', bin_label).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variaveis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feature=bin (concatenado)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feature_name + bin_label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CONCAT(feature_name,'=',bin_label) para reconstruir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Grupo de negocio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coeficientes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Peso/coeficiente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coeficiente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Singular agora; mesmo conteudo</w:t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% populacao na faixa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pct_pop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>
      <w:r>
        <w:br w:type="page"/>
      </w:r>
    </w:p>
    <w:p/>
    <w:p>
      <w:r>
        <w:rPr>
          <w:rFonts w:ascii="Calibri" w:hAnsi="Calibri"/>
          <w:b/>
          <w:color w:val="1F3864"/>
          <w:sz w:val="28"/>
        </w:rPr>
        <w:t xml:space="preserve">5.13. </w:t>
      </w:r>
      <w:r>
        <w:rPr>
          <w:rFonts w:ascii="Consolas" w:hAnsi="Consolas"/>
          <w:b/>
          <w:color w:val="000000"/>
          <w:sz w:val="28"/>
        </w:rPr>
        <w:t>dist_vars_diff_pp_me_br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Diferenca em pp da distribuicao por feature x bin vs Train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teste.dist_vars_diff_pp_me_br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ds_catalog_dev.credit_engine.monitoring_features_me_br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'pct_pop_diff_pp'.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variaveis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feature=bin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feature_name + bin_label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Grupo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coeficientes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Peso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coeficiente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Diff pp vs Train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pct_pop_diff_pp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r>
        <w:rPr>
          <w:rFonts w:ascii="Calibri" w:hAnsi="Calibri"/>
          <w:b/>
          <w:color w:val="1F3864"/>
          <w:sz w:val="28"/>
        </w:rPr>
        <w:t xml:space="preserve">5.14. </w:t>
      </w:r>
      <w:r>
        <w:rPr>
          <w:rFonts w:ascii="Consolas" w:hAnsi="Consolas"/>
          <w:b/>
          <w:color w:val="000000"/>
          <w:sz w:val="28"/>
        </w:rPr>
        <w:t>vol_vars_me_br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Volume (contagem absoluta) por feature x bin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teste.vol_vars_me_br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ds_catalog_dev.credit_engine.monitoring_features_me_br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'volume'.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variaveis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feature=bin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feature_name + bin_label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Grupo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coeficientes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Peso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coeficiente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Contagem absoluta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volume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>
      <w:r>
        <w:br w:type="page"/>
      </w:r>
    </w:p>
    <w:p/>
    <w:p>
      <w:r>
        <w:rPr>
          <w:rFonts w:ascii="Calibri" w:hAnsi="Calibri"/>
          <w:b/>
          <w:color w:val="1F3864"/>
          <w:sz w:val="28"/>
        </w:rPr>
        <w:t xml:space="preserve">5.15. </w:t>
      </w:r>
      <w:r>
        <w:rPr>
          <w:rFonts w:ascii="Consolas" w:hAnsi="Consolas"/>
          <w:b/>
          <w:color w:val="000000"/>
          <w:sz w:val="28"/>
        </w:rPr>
        <w:t>risco_relativo_me_br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Lift (risco relativo) por feature x bin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teste.risco_relativo_me_br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ds_catalog_dev.credit_engine.monitoring_features_me_br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'lift'.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variaveis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feature=bin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feature_name + bin_label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Grupo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Em v1 vinha NULL; em v2 vem preenchido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DOUBLE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Lift = bad_rate(bin)/bad_rate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lift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/>
    <w:p>
      <w:r>
        <w:rPr>
          <w:rFonts w:ascii="Calibri" w:hAnsi="Calibri"/>
          <w:b/>
          <w:color w:val="1F3864"/>
          <w:sz w:val="28"/>
        </w:rPr>
        <w:t xml:space="preserve">5.16. </w:t>
      </w:r>
      <w:r>
        <w:rPr>
          <w:rFonts w:ascii="Consolas" w:hAnsi="Consolas"/>
          <w:b/>
          <w:color w:val="000000"/>
          <w:sz w:val="28"/>
        </w:rPr>
        <w:t>risco_relativo_trigger_me_br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Descricao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Flag de alerta de lift (true se lift fora [0.5, 2.0])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teste.risco_relativo_trigger_me_br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Tabela v2 destino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ds_catalog_dev.credit_engine.monitoring_features_me_br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Observacao geral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20"/>
              </w:rPr>
              <w:t>'value' virou 'lift_trigger' (STRING 'true'/'false').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34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v1</w:t>
            </w:r>
          </w:p>
        </w:tc>
        <w:tc>
          <w:tcPr>
            <w:tcW w:type="dxa" w:w="79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v1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Descricao v1</w:t>
            </w:r>
          </w:p>
        </w:tc>
        <w:tc>
          <w:tcPr>
            <w:tcW w:type="dxa" w:w="113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474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Tabela v2</w:t>
            </w:r>
          </w:p>
        </w:tc>
        <w:tc>
          <w:tcPr>
            <w:tcW w:type="dxa" w:w="136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Coluna v2</w:t>
            </w:r>
          </w:p>
        </w:tc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variaveis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feature=bin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feature_name + bin_label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Grupo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grupo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Periodo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period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value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'true' / 'false'</w:t>
            </w:r>
          </w:p>
        </w:tc>
        <w:tc>
          <w:tcPr>
            <w:tcW w:type="dxa" w:w="1134"/>
            <w:shd w:fill="1565C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RENOMEADO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lift_trigger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Mercado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market_name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STRING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Chave</w:t>
            </w:r>
          </w:p>
        </w:tc>
        <w:tc>
          <w:tcPr>
            <w:tcW w:type="dxa" w:w="1134"/>
            <w:shd w:fill="EF6C0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TRANSFORMADO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metric_key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reference_year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Ano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YEAR(reference_month)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17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reference_month</w:t>
            </w:r>
          </w:p>
        </w:tc>
        <w:tc>
          <w:tcPr>
            <w:tcW w:type="dxa" w:w="79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INT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Mes</w:t>
            </w:r>
          </w:p>
        </w:tc>
        <w:tc>
          <w:tcPr>
            <w:tcW w:type="dxa" w:w="1134"/>
            <w:shd w:fill="00838F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DERIVADO</w:t>
            </w:r>
          </w:p>
        </w:tc>
        <w:tc>
          <w:tcPr>
            <w:tcW w:type="dxa" w:w="1474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MONTH(reference_month)</w:t>
            </w:r>
          </w:p>
        </w:tc>
        <w:tc>
          <w:tcPr>
            <w:tcW w:type="dxa" w:w="1701"/>
            <w:shd w:fill="F2F2F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  <w:tr>
        <w:tc>
          <w:tcPr>
            <w:tcW w:type="dxa" w:w="34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7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TIMESTAMP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  <w:t>Carimbo</w:t>
            </w:r>
          </w:p>
        </w:tc>
        <w:tc>
          <w:tcPr>
            <w:tcW w:type="dxa" w:w="1134"/>
            <w:shd w:fill="2E7D3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IDENTICO</w:t>
            </w:r>
          </w:p>
        </w:tc>
        <w:tc>
          <w:tcPr>
            <w:tcW w:type="dxa" w:w="147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6"/>
              </w:rPr>
              <w:t>monitoring_features_me_br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b/>
                <w:sz w:val="16"/>
              </w:rPr>
              <w:t>updated_at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sz w:val="16"/>
              </w:rPr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F3864"/>
          <w:sz w:val="40"/>
        </w:rPr>
        <w:t>6. Tabela detalhe (mantida)</w:t>
      </w:r>
    </w:p>
    <w:p>
      <w:pPr>
        <w:pBdr>
          <w:bottom w:val="single" w:sz="6" w:color="1F3864"/>
        </w:pBdr>
      </w:pPr>
    </w:p>
    <w:p>
      <w:r>
        <w:rPr>
          <w:rFonts w:ascii="Calibri" w:hAnsi="Calibri"/>
          <w:sz w:val="22"/>
        </w:rPr>
        <w:t xml:space="preserve">A tabela </w:t>
      </w:r>
      <w:r>
        <w:rPr>
          <w:rFonts w:ascii="Consolas" w:hAnsi="Consolas"/>
          <w:sz w:val="22"/>
        </w:rPr>
        <w:t>monitoring_me_br</w:t>
      </w:r>
      <w:r>
        <w:rPr>
          <w:rFonts w:ascii="Calibri" w:hAnsi="Calibri"/>
          <w:sz w:val="22"/>
        </w:rPr>
        <w:t xml:space="preserve"> (detalhe cliente x safra) NAO foi consolidada. Continua existindo na v2 com o mesmo nome e o mesmo schema. Apenas mudou de catalogo: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7370"/>
            <w:shd w:fill="1F38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Nome plenamente qualificado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v1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teste.monitoring_me_br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v2</w:t>
            </w:r>
          </w:p>
        </w:tc>
        <w:tc>
          <w:tcPr>
            <w:tcW w:type="dxa" w:w="737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18"/>
              </w:rPr>
              <w:t>ds_catalog_dev.credit_engine.monitoring_me_br</w:t>
            </w:r>
          </w:p>
        </w:tc>
      </w:tr>
    </w:tbl>
    <w:p/>
    <w:p>
      <w:r>
        <w:rPr>
          <w:rFonts w:ascii="Calibri" w:hAnsi="Calibri"/>
          <w:sz w:val="22"/>
        </w:rPr>
        <w:t xml:space="preserve">Todas as colunas existentes em v1 permanecem em v2 com nome e tipo identicos. Para o Power BI, basta atualizar a string de conexao do catalogo. Para o schema completo, consultar o </w:t>
      </w:r>
      <w:r>
        <w:rPr>
          <w:rFonts w:ascii="Consolas" w:hAnsi="Consolas"/>
          <w:sz w:val="22"/>
        </w:rPr>
        <w:t>depara_monitoramento_me_br.md</w:t>
      </w:r>
      <w:r>
        <w:rPr>
          <w:rFonts w:ascii="Calibri" w:hAnsi="Calibri"/>
          <w:sz w:val="22"/>
        </w:rPr>
        <w:t xml:space="preserve"> no repositorio.</w:t>
      </w:r>
    </w:p>
    <w:p>
      <w:r>
        <w:br w:type="page"/>
      </w:r>
    </w:p>
    <w:p>
      <w:r>
        <w:rPr>
          <w:rFonts w:ascii="Calibri" w:hAnsi="Calibri"/>
          <w:b/>
          <w:color w:val="1F3864"/>
          <w:sz w:val="40"/>
        </w:rPr>
        <w:t>7. Checklist para o time de BI</w:t>
      </w:r>
    </w:p>
    <w:p>
      <w:pPr>
        <w:pBdr>
          <w:bottom w:val="single" w:sz="6" w:color="1F3864"/>
        </w:pBdr>
      </w:pPr>
    </w:p>
    <w:p>
      <w:r>
        <w:rPr>
          <w:rFonts w:ascii="Calibri" w:hAnsi="Calibri"/>
          <w:b/>
          <w:color w:val="1F3864"/>
          <w:sz w:val="22"/>
        </w:rPr>
        <w:t xml:space="preserve">  [ ]  01. </w:t>
      </w:r>
      <w:r>
        <w:rPr>
          <w:rFonts w:ascii="Calibri" w:hAnsi="Calibri"/>
          <w:sz w:val="22"/>
        </w:rPr>
        <w:t>Atualizar a connection string / catalogo de 'teste.*' para 'ds_catalog_dev.credit_engine.*' em todas as fontes.</w:t>
      </w:r>
    </w:p>
    <w:p>
      <w:r>
        <w:rPr>
          <w:rFonts w:ascii="Calibri" w:hAnsi="Calibri"/>
          <w:b/>
          <w:color w:val="1F3864"/>
          <w:sz w:val="22"/>
        </w:rPr>
        <w:t xml:space="preserve">  [ ]  02. </w:t>
      </w:r>
      <w:r>
        <w:rPr>
          <w:rFonts w:ascii="Calibri" w:hAnsi="Calibri"/>
          <w:sz w:val="22"/>
        </w:rPr>
        <w:t>Substituir as 16 fontes de dados pelas 5 novas tabelas, conforme item 4 (resumo executivo).</w:t>
      </w:r>
    </w:p>
    <w:p>
      <w:r>
        <w:rPr>
          <w:rFonts w:ascii="Calibri" w:hAnsi="Calibri"/>
          <w:b/>
          <w:color w:val="1F3864"/>
          <w:sz w:val="22"/>
        </w:rPr>
        <w:t xml:space="preserve">  [ ]  03. </w:t>
      </w:r>
      <w:r>
        <w:rPr>
          <w:rFonts w:ascii="Calibri" w:hAnsi="Calibri"/>
          <w:sz w:val="22"/>
        </w:rPr>
        <w:t>Para queries que referenciam 'reference_year' (INT), substituir por YEAR(reference_month).</w:t>
      </w:r>
    </w:p>
    <w:p>
      <w:r>
        <w:rPr>
          <w:rFonts w:ascii="Calibri" w:hAnsi="Calibri"/>
          <w:b/>
          <w:color w:val="1F3864"/>
          <w:sz w:val="22"/>
        </w:rPr>
        <w:t xml:space="preserve">  [ ]  04. </w:t>
      </w:r>
      <w:r>
        <w:rPr>
          <w:rFonts w:ascii="Calibri" w:hAnsi="Calibri"/>
          <w:sz w:val="22"/>
        </w:rPr>
        <w:t>Para queries que referenciam 'reference_month' (INT 1-12), substituir por MONTH(reference_month). ATENCAO: o nome 'reference_month' foi reciclado para DATE em v2.</w:t>
      </w:r>
    </w:p>
    <w:p>
      <w:r>
        <w:rPr>
          <w:rFonts w:ascii="Calibri" w:hAnsi="Calibri"/>
          <w:b/>
          <w:color w:val="1F3864"/>
          <w:sz w:val="22"/>
        </w:rPr>
        <w:t xml:space="preserve">  [ ]  05. </w:t>
      </w:r>
      <w:r>
        <w:rPr>
          <w:rFonts w:ascii="Calibri" w:hAnsi="Calibri"/>
          <w:sz w:val="22"/>
        </w:rPr>
        <w:t>Validar que todos os visuais de 'bad rate' usam % (0-100). v2 padroniza essa unidade.</w:t>
      </w:r>
    </w:p>
    <w:p>
      <w:r>
        <w:rPr>
          <w:rFonts w:ascii="Calibri" w:hAnsi="Calibri"/>
          <w:b/>
          <w:color w:val="1F3864"/>
          <w:sz w:val="22"/>
        </w:rPr>
        <w:t xml:space="preserve">  [ ]  06. </w:t>
      </w:r>
      <w:r>
        <w:rPr>
          <w:rFonts w:ascii="Calibri" w:hAnsi="Calibri"/>
          <w:sz w:val="22"/>
        </w:rPr>
        <w:t>Substituir 'previous_decile' / 'current_decile' por 'previous_band' / 'current_band' no dashboard de migracoes.</w:t>
      </w:r>
    </w:p>
    <w:p>
      <w:r>
        <w:rPr>
          <w:rFonts w:ascii="Calibri" w:hAnsi="Calibri"/>
          <w:b/>
          <w:color w:val="1F3864"/>
          <w:sz w:val="22"/>
        </w:rPr>
        <w:t xml:space="preserve">  [ ]  07. </w:t>
      </w:r>
      <w:r>
        <w:rPr>
          <w:rFonts w:ascii="Calibri" w:hAnsi="Calibri"/>
          <w:sz w:val="22"/>
        </w:rPr>
        <w:t>Remover qualquer referencia a coluna 'update_at' (typo) — usar apenas 'updated_at'.</w:t>
      </w:r>
    </w:p>
    <w:p>
      <w:r>
        <w:rPr>
          <w:rFonts w:ascii="Calibri" w:hAnsi="Calibri"/>
          <w:b/>
          <w:color w:val="1F3864"/>
          <w:sz w:val="22"/>
        </w:rPr>
        <w:t xml:space="preserve">  [ ]  08. </w:t>
      </w:r>
      <w:r>
        <w:rPr>
          <w:rFonts w:ascii="Calibri" w:hAnsi="Calibri"/>
          <w:sz w:val="22"/>
        </w:rPr>
        <w:t>Em queries que usavam 'iep_me_br' (PSI por feature), aplicar SELECT DISTINCT para nao duplicar o valor (PSI eh repetido em todos os bins).</w:t>
      </w:r>
    </w:p>
    <w:p>
      <w:r>
        <w:rPr>
          <w:rFonts w:ascii="Calibri" w:hAnsi="Calibri"/>
          <w:b/>
          <w:color w:val="1F3864"/>
          <w:sz w:val="22"/>
        </w:rPr>
        <w:t xml:space="preserve">  [ ]  09. </w:t>
      </w:r>
      <w:r>
        <w:rPr>
          <w:rFonts w:ascii="Calibri" w:hAnsi="Calibri"/>
          <w:sz w:val="22"/>
        </w:rPr>
        <w:t>Conferir se 'iep_vars' era usado pelo valor absoluto do PSI. Se sim, trocar para 'psi_feature' em vez de 'psi_within_group' (mudou de semantica).</w:t>
      </w:r>
    </w:p>
    <w:p>
      <w:r>
        <w:rPr>
          <w:rFonts w:ascii="Calibri" w:hAnsi="Calibri"/>
          <w:b/>
          <w:color w:val="1F3864"/>
          <w:sz w:val="22"/>
        </w:rPr>
        <w:t xml:space="preserve">  [ ]  10. </w:t>
      </w:r>
      <w:r>
        <w:rPr>
          <w:rFonts w:ascii="Calibri" w:hAnsi="Calibri"/>
          <w:sz w:val="22"/>
        </w:rPr>
        <w:t>Em queries de 'dist_vars', 'vol_vars', 'risco_relativo*': reconstruir o campo 'variaveis' com CONCAT(feature_name, '=', bin_label).</w:t>
      </w:r>
    </w:p>
    <w:p>
      <w:r>
        <w:rPr>
          <w:rFonts w:ascii="Calibri" w:hAnsi="Calibri"/>
          <w:b/>
          <w:color w:val="1F3864"/>
          <w:sz w:val="22"/>
        </w:rPr>
        <w:t xml:space="preserve">  [ ]  11. </w:t>
      </w:r>
      <w:r>
        <w:rPr>
          <w:rFonts w:ascii="Calibri" w:hAnsi="Calibri"/>
          <w:sz w:val="22"/>
        </w:rPr>
        <w:t>Validar contagens esperadas: 30 linhas em metrics, 120 em band, 870 em features, 256 em migrations.</w:t>
      </w:r>
    </w:p>
    <w:p>
      <w:r>
        <w:rPr>
          <w:rFonts w:ascii="Calibri" w:hAnsi="Calibri"/>
          <w:b/>
          <w:color w:val="1F3864"/>
          <w:sz w:val="22"/>
        </w:rPr>
        <w:t xml:space="preserve">  [ ]  12. </w:t>
      </w:r>
      <w:r>
        <w:rPr>
          <w:rFonts w:ascii="Calibri" w:hAnsi="Calibri"/>
          <w:sz w:val="22"/>
        </w:rPr>
        <w:t>Aproveitar campos novos disponiveis em monitoring_metrics_me_br: psi_vs_train_classification, pct_improved/maintained/worsened, lift_baixo/medio/alto.</w:t>
      </w:r>
    </w:p>
    <w:p>
      <w:r>
        <w:br w:type="page"/>
      </w:r>
    </w:p>
    <w:p>
      <w:r>
        <w:rPr>
          <w:rFonts w:ascii="Calibri" w:hAnsi="Calibri"/>
          <w:b/>
          <w:color w:val="1F3864"/>
          <w:sz w:val="40"/>
        </w:rPr>
        <w:t>8. Contato e referencias</w:t>
      </w:r>
    </w:p>
    <w:p>
      <w:pPr>
        <w:pBdr>
          <w:bottom w:val="single" w:sz="6" w:color="1F3864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Repositorio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2"/>
              </w:rPr>
              <w:t>williamffdiniz-creator/CreditoME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Branch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2"/>
              </w:rPr>
              <w:t>claude/push-and-analyze-76D8u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Notebook v2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2"/>
              </w:rPr>
              <w:t>04_monitoring_me_br_v2.ipynb</w:t>
            </w:r>
          </w:p>
        </w:tc>
      </w:tr>
      <w:tr>
        <w:tc>
          <w:tcPr>
            <w:tcW w:type="dxa" w:w="2268"/>
            <w:vAlign w:val="center"/>
            <w:shd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alibri" w:hAnsi="Calibri"/>
                <w:b/>
                <w:sz w:val="22"/>
              </w:rPr>
              <w:t>Versao .py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2"/>
              </w:rPr>
              <w:t>04_monitoring_me_br_v2.py (formato Databricks)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595959"/>
          <w:sz w:val="20"/>
        </w:rPr>
        <w:t>— Fim do documento —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