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Marketplace Growth Proposal</w:t>
      </w:r>
    </w:p>
    <w:p>
      <w:pPr>
        <w:spacing w:after="280"/>
      </w:pPr>
      <w:r>
        <w:rPr>
          <w:sz w:val="28"/>
        </w:rPr>
        <w:t xml:space="preserve">Prepared for </w:t>
      </w:r>
      <w:r>
        <w:rPr>
          <w:b/>
          <w:sz w:val="28"/>
        </w:rPr>
        <w:t>[Prospect Company]</w:t>
      </w:r>
    </w:p>
    <w:tbl>
      <w:tblPr>
        <w:tblW w:type="auto" w:w="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120" w:type="dxa"/>
        </w:tblCellMar>
        <w:tblLook w:firstColumn="1" w:firstRow="1" w:lastColumn="0" w:lastRow="0" w:noHBand="0" w:noVBand="1" w:val="04A0"/>
      </w:tblPr>
      <w:tblGrid>
        <w:gridCol w:w="2016"/>
        <w:gridCol w:w="7344"/>
      </w:tblGrid>
      <w:tr>
        <w:tc>
          <w:tcPr>
            <w:tcW w:type="dxa" w:w="2016"/>
          </w:tcPr>
          <w:p>
            <w:pPr>
              <w:spacing w:after="0"/>
            </w:pPr>
            <w:r>
              <w:rPr>
                <w:b/>
                <w:color w:val="595959"/>
                <w:sz w:val="20"/>
              </w:rPr>
              <w:t>Prepared for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rPr>
                <w:sz w:val="21"/>
              </w:rPr>
              <w:t>[Contact Name], [Contact Title]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</w:p>
        </w:tc>
        <w:tc>
          <w:tcPr>
            <w:tcW w:type="dxa" w:w="7344"/>
          </w:tcPr>
          <w:p>
            <w:pPr>
              <w:spacing w:after="0"/>
            </w:pPr>
            <w:r>
              <w:rPr>
                <w:sz w:val="21"/>
              </w:rPr>
              <w:t>[contact@prospect.com]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b/>
                <w:color w:val="595959"/>
                <w:sz w:val="20"/>
              </w:rPr>
              <w:t>Prepared by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rPr>
                <w:sz w:val="21"/>
              </w:rPr>
              <w:t>William Fikhman, Founder, Chief Marketplace Officer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b/>
                <w:color w:val="595959"/>
                <w:sz w:val="20"/>
              </w:rPr>
              <w:t>Date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rPr>
                <w:sz w:val="21"/>
              </w:rPr>
              <w:t>September 12, 2026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>
              <w:rPr>
                <w:b/>
                <w:color w:val="595959"/>
                <w:sz w:val="20"/>
              </w:rPr>
              <w:t>Valid through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rPr>
                <w:sz w:val="21"/>
              </w:rPr>
              <w:t>October 12, 2026</w:t>
            </w:r>
          </w:p>
        </w:tc>
      </w:tr>
    </w:tbl>
    <w:p>
      <w:pPr>
        <w:pBdr>
          <w:bottom w:val="single" w:sz="12" w:space="1" w:color="1F3A5F"/>
        </w:pBdr>
        <w:spacing w:before="120" w:after="40"/>
      </w:pPr>
    </w:p>
    <w:p>
      <w:pPr>
        <w:pStyle w:val="Heading1"/>
      </w:pPr>
      <w:r>
        <w:t>Overview</w:t>
      </w:r>
    </w:p>
    <w:p>
      <w:r>
        <w:t>[Two or three sentences: what the prospect needs and what Chief Marketplace Officer will do about it.]</w:t>
      </w:r>
    </w:p>
    <w:p>
      <w:pPr>
        <w:pStyle w:val="Heading1"/>
      </w:pPr>
      <w:r>
        <w:t>What we heard</w:t>
      </w:r>
    </w:p>
    <w:p>
      <w:pPr>
        <w:pStyle w:val="ListBullet"/>
      </w:pPr>
      <w:r>
        <w:t>[What we heard on the call, bullet one]</w:t>
      </w:r>
    </w:p>
    <w:p>
      <w:pPr>
        <w:pStyle w:val="ListBullet"/>
      </w:pPr>
      <w:r>
        <w:t>[What we heard on the call, bullet two]</w:t>
      </w:r>
    </w:p>
    <w:p>
      <w:pPr>
        <w:pStyle w:val="ListBullet"/>
      </w:pPr>
      <w:r>
        <w:t>[What we heard on the call, bullet three]</w:t>
      </w:r>
    </w:p>
    <w:p>
      <w:pPr>
        <w:pStyle w:val="Heading1"/>
      </w:pPr>
      <w:r>
        <w:t>Scope of work</w:t>
      </w:r>
    </w:p>
    <w:p>
      <w:pPr>
        <w:pStyle w:val="Heading2"/>
      </w:pPr>
      <w:r>
        <w:t>Marketplace audit and 30-day plan</w:t>
      </w:r>
    </w:p>
    <w:p>
      <w:pPr>
        <w:pStyle w:val="ListBullet"/>
      </w:pPr>
      <w:r>
        <w:t>Full review of current listings, pricing, advertising, reviews, and account health on each active marketplace.</w:t>
      </w:r>
    </w:p>
    <w:p>
      <w:pPr>
        <w:pStyle w:val="ListBullet"/>
      </w:pPr>
      <w:r>
        <w:t>Written findings and a prioritized 30-day action plan delivered in the first two weeks.</w:t>
      </w:r>
    </w:p>
    <w:p>
      <w:pPr>
        <w:pStyle w:val="Heading2"/>
      </w:pPr>
      <w:r>
        <w:t>Listing and catalog optimization</w:t>
      </w:r>
    </w:p>
    <w:p>
      <w:pPr>
        <w:pStyle w:val="ListBullet"/>
      </w:pPr>
      <w:r>
        <w:t>Titles, bullets, A+ content, imagery briefs, and backend keywords for the priority catalog.</w:t>
      </w:r>
    </w:p>
    <w:p>
      <w:pPr>
        <w:pStyle w:val="ListBullet"/>
      </w:pPr>
      <w:r>
        <w:t>Variation and parent-child structure cleanup where it is costing rank or conversion.</w:t>
      </w:r>
    </w:p>
    <w:p>
      <w:pPr>
        <w:pStyle w:val="Heading2"/>
      </w:pPr>
      <w:r>
        <w:t>Advertising management</w:t>
      </w:r>
    </w:p>
    <w:p>
      <w:pPr>
        <w:pStyle w:val="ListBullet"/>
      </w:pPr>
      <w:r>
        <w:t>Campaign structure, bids, budgets, and weekly optimization across Sponsored Products, Brands, and Display.</w:t>
      </w:r>
    </w:p>
    <w:p>
      <w:pPr>
        <w:pStyle w:val="ListBullet"/>
      </w:pPr>
      <w:r>
        <w:t>Monthly efficiency review against agreed ACoS and TACoS targets.</w:t>
      </w:r>
    </w:p>
    <w:p>
      <w:pPr>
        <w:pStyle w:val="Heading2"/>
      </w:pPr>
      <w:r>
        <w:t>Brand protection</w:t>
      </w:r>
    </w:p>
    <w:p>
      <w:pPr>
        <w:pStyle w:val="ListBullet"/>
      </w:pPr>
      <w:r>
        <w:t>Unauthorized-seller and MAP monitoring with a documented enforcement path.</w:t>
      </w:r>
    </w:p>
    <w:p>
      <w:pPr>
        <w:pStyle w:val="ListBullet"/>
      </w:pPr>
      <w:r>
        <w:t>Brand Registry, listing-hijack, and suppression issue handling with the marketplace.</w:t>
      </w:r>
    </w:p>
    <w:p>
      <w:pPr>
        <w:pStyle w:val="Heading2"/>
      </w:pPr>
      <w:r>
        <w:t>Reporting and cadence</w:t>
      </w:r>
    </w:p>
    <w:p>
      <w:pPr>
        <w:pStyle w:val="ListBullet"/>
      </w:pPr>
      <w:r>
        <w:t>Weekly scorecard: sales, ad efficiency, buy box, inventory position, account health.</w:t>
      </w:r>
    </w:p>
    <w:p>
      <w:pPr>
        <w:pStyle w:val="ListBullet"/>
      </w:pPr>
      <w:r>
        <w:t>Biweekly working session with your team; monthly review of results against plan.</w:t>
      </w:r>
    </w:p>
    <w:p>
      <w:pPr>
        <w:pStyle w:val="Heading1"/>
      </w:pPr>
      <w:r>
        <w:t>Investment</w:t>
      </w:r>
    </w:p>
    <w:tbl>
      <w:tblPr>
        <w:tblW w:type="auto" w:w="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160"/>
        <w:gridCol w:w="5328"/>
        <w:gridCol w:w="1872"/>
      </w:tblGrid>
      <w:tr>
        <w:tc>
          <w:tcPr>
            <w:tcW w:type="dxa" w:w="216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5328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What it covers</w:t>
            </w:r>
          </w:p>
        </w:tc>
        <w:tc>
          <w:tcPr>
            <w:tcW w:type="dxa" w:w="1872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Amount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21"/>
              </w:rPr>
              <w:t>Monthly retainer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21"/>
              </w:rPr>
              <w:t>Strategy, execution, and reporting across the marketplaces in scope.</w:t>
            </w:r>
          </w:p>
        </w:tc>
        <w:tc>
          <w:tcPr>
            <w:tcW w:type="dxa" w:w="1872"/>
          </w:tcPr>
          <w:p>
            <w:pPr>
              <w:spacing w:after="0"/>
              <w:jc w:val="right"/>
            </w:pPr>
            <w:r>
              <w:rPr>
                <w:b/>
                <w:sz w:val="21"/>
              </w:rPr>
              <w:t>$3,500 / month</w:t>
            </w:r>
          </w:p>
        </w:tc>
      </w:tr>
      <w:tr>
        <w:tc>
          <w:tcPr>
            <w:tcW w:type="dxa" w:w="2160"/>
            <w:shd w:val="clear" w:color="auto" w:fill="F3F5F8"/>
          </w:tcPr>
          <w:p>
            <w:pPr>
              <w:spacing w:after="0"/>
            </w:pPr>
            <w:r>
              <w:rPr>
                <w:b/>
                <w:sz w:val="21"/>
              </w:rPr>
              <w:t>Performance fee</w:t>
            </w:r>
          </w:p>
        </w:tc>
        <w:tc>
          <w:tcPr>
            <w:tcW w:type="dxa" w:w="5328"/>
            <w:shd w:val="clear" w:color="auto" w:fill="F3F5F8"/>
          </w:tcPr>
          <w:p>
            <w:pPr>
              <w:spacing w:after="0"/>
            </w:pPr>
            <w:r>
              <w:rPr>
                <w:sz w:val="21"/>
              </w:rPr>
              <w:t>8% of attributable marketplace revenue</w:t>
            </w:r>
          </w:p>
        </w:tc>
        <w:tc>
          <w:tcPr>
            <w:tcW w:type="dxa" w:w="1872"/>
            <w:shd w:val="clear" w:color="auto" w:fill="F3F5F8"/>
          </w:tcPr>
          <w:p>
            <w:pPr>
              <w:spacing w:after="0"/>
              <w:jc w:val="right"/>
            </w:pPr>
            <w:r>
              <w:rPr>
                <w:b/>
                <w:sz w:val="21"/>
              </w:rPr>
              <w:t>8%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21"/>
              </w:rPr>
              <w:t>Term</w:t>
            </w:r>
          </w:p>
        </w:tc>
        <w:tc>
          <w:tcPr>
            <w:tcW w:type="dxa" w:w="5328"/>
          </w:tcPr>
          <w:p>
            <w:pPr>
              <w:spacing w:after="0"/>
            </w:pPr>
            <w:r>
              <w:rPr>
                <w:sz w:val="21"/>
              </w:rPr>
              <w:t>6 months, then month to month.</w:t>
            </w:r>
          </w:p>
        </w:tc>
        <w:tc>
          <w:tcPr>
            <w:tcW w:type="dxa" w:w="1872"/>
          </w:tcPr>
          <w:p>
            <w:pPr>
              <w:spacing w:after="0"/>
              <w:jc w:val="right"/>
            </w:pPr>
            <w:r>
              <w:rPr>
                <w:b/>
                <w:sz w:val="21"/>
              </w:rPr>
              <w:t>—</w:t>
            </w:r>
          </w:p>
        </w:tc>
      </w:tr>
    </w:tbl>
    <w:p>
      <w:pPr>
        <w:spacing w:before="120"/>
      </w:pPr>
      <w:r>
        <w:rPr>
          <w:color w:val="595959"/>
          <w:sz w:val="20"/>
        </w:rPr>
        <w:t>The retainer covers strategy, execution, and reporting across the marketplaces listed in the scope. Ad spend, marketplace fees, and third-party tools are paid by the client directly.</w:t>
      </w:r>
    </w:p>
    <w:p>
      <w:pPr>
        <w:pStyle w:val="Heading1"/>
      </w:pPr>
      <w:r>
        <w:t>Terms</w:t>
      </w:r>
    </w:p>
    <w:p>
      <w:pPr>
        <w:pStyle w:val="ListBullet"/>
      </w:pPr>
      <w:r>
        <w:t>The monthly retainer is invoiced on the first of each month, due net 15.</w:t>
      </w:r>
    </w:p>
    <w:p>
      <w:pPr>
        <w:pStyle w:val="ListBullet"/>
      </w:pPr>
      <w:r>
        <w:t>The performance fee is calculated monthly from the marketplace sales reports the client shares and invoiced in arrears with the next retainer.</w:t>
      </w:r>
    </w:p>
    <w:p>
      <w:pPr>
        <w:pStyle w:val="ListBullet"/>
      </w:pPr>
      <w:r>
        <w:t>The initial term is the number of months shown above, after which the engagement continues month to month with 30 days' written notice from either side.</w:t>
      </w:r>
    </w:p>
    <w:p>
      <w:pPr>
        <w:pStyle w:val="ListBullet"/>
      </w:pPr>
      <w:r>
        <w:t>The client owns all marketplace accounts, listings, content, and data. Chief Marketplace Officer keeps its methods, templates, and tooling.</w:t>
      </w:r>
    </w:p>
    <w:p>
      <w:pPr>
        <w:pStyle w:val="ListBullet"/>
      </w:pPr>
      <w:r>
        <w:t>Advertising spend, marketplace fees, and any third-party tools are billed to and paid by the client directly.</w:t>
      </w:r>
    </w:p>
    <w:p>
      <w:pPr>
        <w:pStyle w:val="ListBullet"/>
      </w:pPr>
      <w:r>
        <w:t>Either side may end the engagement for a material breach that is not fixed within 15 days of written notice.</w:t>
      </w:r>
    </w:p>
    <w:p>
      <w:pPr>
        <w:pStyle w:val="ListBullet"/>
      </w:pPr>
      <w:r>
        <w:t>Both sides keep the other's non-public information confidential during and after the engagement.</w:t>
      </w:r>
    </w:p>
    <w:p>
      <w:pPr>
        <w:pStyle w:val="Heading1"/>
      </w:pPr>
      <w:r>
        <w:t>Next steps</w:t>
      </w:r>
    </w:p>
    <w:p>
      <w:pPr>
        <w:pStyle w:val="ListNumber"/>
      </w:pPr>
      <w:r>
        <w:t>Review this proposal. We will walk through any questions on a 20-minute call.</w:t>
      </w:r>
    </w:p>
    <w:p>
      <w:pPr>
        <w:pStyle w:val="ListNumber"/>
      </w:pPr>
      <w:r>
        <w:t>Sign the agreement; it arrives by e-signature within one business day of your go-ahead.</w:t>
      </w:r>
    </w:p>
    <w:p>
      <w:pPr>
        <w:pStyle w:val="ListNumber"/>
      </w:pPr>
      <w:r>
        <w:t>Kickoff within five business days of signature: account access, baseline audit, and the 30-day plan.</w:t>
      </w:r>
    </w:p>
    <w:p>
      <w:pPr>
        <w:pStyle w:val="Heading1"/>
      </w:pPr>
      <w:r>
        <w:t>Agreement</w:t>
      </w:r>
    </w:p>
    <w:p>
      <w:r>
        <w:t>Signing below accepts the scope, investment, and terms in this proposal and starts the engagement on the kickoff date agreed in writing.</w:t>
      </w:r>
    </w:p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60" w:type="dxa"/>
          <w:left w:w="0" w:type="dxa"/>
          <w:bottom w:w="60" w:type="dxa"/>
          <w:right w:w="300" w:type="dxa"/>
        </w:tblCellMar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160" w:after="360"/>
            </w:pPr>
            <w:r>
              <w:rPr>
                <w:b/>
              </w:rPr>
              <w:t>Chief Marketplace Officer</w:t>
            </w:r>
          </w:p>
          <w:p>
            <w:pPr>
              <w:pBdr>
                <w:bottom w:val="single" w:sz="4" w:space="1" w:color="8C8C8C"/>
              </w:pBdr>
              <w:spacing w:after="160"/>
            </w:pPr>
            <w:r>
              <w:rPr>
                <w:color w:val="595959"/>
                <w:sz w:val="20"/>
              </w:rPr>
              <w:t xml:space="preserve">Signature: </w:t>
            </w:r>
          </w:p>
          <w:p>
            <w:pPr>
              <w:spacing w:after="160"/>
            </w:pPr>
            <w:r>
              <w:rPr>
                <w:color w:val="595959"/>
                <w:sz w:val="20"/>
              </w:rPr>
              <w:t xml:space="preserve">Name: </w:t>
            </w:r>
            <w:r>
              <w:rPr>
                <w:sz w:val="20"/>
              </w:rPr>
              <w:t>William Fikhman</w:t>
            </w:r>
          </w:p>
          <w:p>
            <w:pPr>
              <w:spacing w:after="160"/>
            </w:pPr>
            <w:r>
              <w:rPr>
                <w:color w:val="595959"/>
                <w:sz w:val="20"/>
              </w:rPr>
              <w:t xml:space="preserve">Title: </w:t>
            </w:r>
            <w:r>
              <w:rPr>
                <w:sz w:val="20"/>
              </w:rPr>
              <w:t>Founder</w:t>
            </w:r>
          </w:p>
          <w:p>
            <w:pPr>
              <w:pBdr>
                <w:bottom w:val="single" w:sz="4" w:space="1" w:color="8C8C8C"/>
              </w:pBdr>
              <w:spacing w:after="160"/>
            </w:pPr>
            <w:r>
              <w:rPr>
                <w:color w:val="595959"/>
                <w:sz w:val="20"/>
              </w:rPr>
              <w:t xml:space="preserve">Date: </w:t>
            </w:r>
          </w:p>
        </w:tc>
        <w:tc>
          <w:tcPr>
            <w:tcW w:type="dxa" w:w="4680"/>
          </w:tcPr>
          <w:p>
            <w:pPr>
              <w:spacing w:before="160" w:after="360"/>
            </w:pPr>
            <w:r>
              <w:rPr>
                <w:b/>
              </w:rPr>
              <w:t>[Prospect Company]</w:t>
            </w:r>
          </w:p>
          <w:p>
            <w:pPr>
              <w:pBdr>
                <w:bottom w:val="single" w:sz="4" w:space="1" w:color="8C8C8C"/>
              </w:pBdr>
              <w:spacing w:after="160"/>
            </w:pPr>
            <w:r>
              <w:rPr>
                <w:color w:val="595959"/>
                <w:sz w:val="20"/>
              </w:rPr>
              <w:t xml:space="preserve">Signature: </w:t>
            </w:r>
          </w:p>
          <w:p>
            <w:pPr>
              <w:spacing w:after="160"/>
            </w:pPr>
            <w:r>
              <w:rPr>
                <w:color w:val="595959"/>
                <w:sz w:val="20"/>
              </w:rPr>
              <w:t xml:space="preserve">Name: </w:t>
            </w:r>
            <w:r>
              <w:rPr>
                <w:sz w:val="20"/>
              </w:rPr>
              <w:t>[Contact Name]</w:t>
            </w:r>
          </w:p>
          <w:p>
            <w:pPr>
              <w:spacing w:after="160"/>
            </w:pPr>
            <w:r>
              <w:rPr>
                <w:color w:val="595959"/>
                <w:sz w:val="20"/>
              </w:rPr>
              <w:t xml:space="preserve">Title: </w:t>
            </w:r>
            <w:r>
              <w:rPr>
                <w:sz w:val="20"/>
              </w:rPr>
              <w:t>[Contact Title]</w:t>
            </w:r>
          </w:p>
          <w:p>
            <w:pPr>
              <w:pBdr>
                <w:bottom w:val="single" w:sz="4" w:space="1" w:color="8C8C8C"/>
              </w:pBdr>
              <w:spacing w:after="160"/>
            </w:pPr>
            <w:r>
              <w:rPr>
                <w:color w:val="595959"/>
                <w:sz w:val="20"/>
              </w:rPr>
              <w:t xml:space="preserve">Date: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296" w:left="144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9360"/>
      </w:tabs>
      <w:spacing w:after="0"/>
    </w:pPr>
    <w:r>
      <w:rPr>
        <w:color w:val="595959"/>
        <w:sz w:val="18"/>
      </w:rPr>
      <w:t>Chief Marketplace Officer  ·  william@marketplaceofficer.com  ·  marketplaceofficer.com</w:t>
    </w:r>
    <w:r>
      <w:tab/>
    </w:r>
    <w:r>
      <w:rPr>
        <w:color w:val="595959"/>
        <w:sz w:val="18"/>
      </w:rPr>
      <w:t xml:space="preserve">Page </w:t>
    </w:r>
    <w:r>
      <w:rPr>
        <w:color w:val="595959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right"/>
    </w:pPr>
    <w:r>
      <w:rPr>
        <w:b/>
        <w:color w:val="1F3A5F"/>
        <w:sz w:val="18"/>
      </w:rPr>
      <w:t>CHIEF MARKETPLACE OFFICER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 w:cs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1A1A1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 w:cs="Calibri"/>
      <w:b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