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BRIEF IN OPPOSITION TO DEFENDANT'S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INTRODUCTION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[NAME], pro se, submits this Brief in Opposition to [the motion]. Plaintiff respectfully requests that the Court deny [the relief sought].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 xml:space="preserve">[The single strongest reason the motion fails, stated in two or three sentences, with the controlling authority. Case names take the builder's italic markup: </w:t>
      </w:r>
      <w:r>
        <w:rPr>
          <w:rFonts w:ascii="Century Schoolbook" w:hAnsi="Century Schoolbook"/>
          <w:b w:val="0"/>
          <w:i/>
          <w:sz w:val="24"/>
          <w:u w:val="none"/>
        </w:rPr>
        <w:t>Wis. Dep't of Workforce Dev. v. Wis. Labor &amp; Indus. Rev. Comm'n</w:t>
      </w:r>
      <w:r>
        <w:rPr>
          <w:rFonts w:ascii="Century Schoolbook" w:hAnsi="Century Schoolbook"/>
          <w:b w:val="0"/>
          <w:i w:val="0"/>
          <w:sz w:val="24"/>
          <w:u w:val="none"/>
        </w:rPr>
        <w:t>, 2016 WI App 21, ¶31 n.23, 367 Wis. 2d 609, 877 N.W.2d 620.]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ARGUMENT</w:t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I. [Proposition: why the movant cannot satisfy the governing standard.]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II. [Proposition: independent ground for denial.]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CONCLUSION</w:t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enter an order denying [the motion], and granting such other and further relief as the Court deems just and proper.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