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PLAINTIFF'S MOTION TO RECONSIDER [ORDER]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 xml:space="preserve">[USE ONE OF THE TWO OPENINGS BELOW. Wis. Stat. § 805.17(3) applies ONLY to findings after a trial to the court. Citing it to reconsider a summary judgment ruling or a non-final order is wrong. </w:t>
      </w:r>
      <w:r>
        <w:rPr>
          <w:rFonts w:ascii="Century Schoolbook" w:hAnsi="Century Schoolbook"/>
          <w:b w:val="0"/>
          <w:i/>
          <w:sz w:val="24"/>
          <w:u w:val="none"/>
        </w:rPr>
        <w:t>Teff v. Unity Health Plans Ins. Corp.</w:t>
      </w:r>
      <w:r>
        <w:rPr>
          <w:rFonts w:ascii="Century Schoolbook" w:hAnsi="Century Schoolbook"/>
          <w:b w:val="0"/>
          <w:i w:val="0"/>
          <w:sz w:val="24"/>
          <w:u w:val="none"/>
        </w:rPr>
        <w:t>, 2003 WI App 115.]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A. NON-FINAL ORDER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 xml:space="preserve">Plaintiff [NAME], pro se, respectfully moves this Court to reconsider its [DATE] Order [describing it]. That Order is non-final, and this Court “has the inherent authority to reconsider a nonfinal ruling any time prior to the entry of the final order or judgment.” </w:t>
      </w:r>
      <w:r>
        <w:rPr>
          <w:rFonts w:ascii="Century Schoolbook" w:hAnsi="Century Schoolbook"/>
          <w:b w:val="0"/>
          <w:i/>
          <w:sz w:val="24"/>
          <w:u w:val="none"/>
        </w:rPr>
        <w:t>Teff v. Unity Health Plans Ins. Corp.</w:t>
      </w:r>
      <w:r>
        <w:rPr>
          <w:rFonts w:ascii="Century Schoolbook" w:hAnsi="Century Schoolbook"/>
          <w:b w:val="0"/>
          <w:i w:val="0"/>
          <w:sz w:val="24"/>
          <w:u w:val="none"/>
        </w:rPr>
        <w:t xml:space="preserve">, 2003 WI App 115, ¶ 57. Reconsideration is warranted because the Order rests on [a manifest error of law / a manifest error of fact / newly discovered evidence]. </w:t>
      </w:r>
      <w:r>
        <w:rPr>
          <w:rFonts w:ascii="Century Schoolbook" w:hAnsi="Century Schoolbook"/>
          <w:b w:val="0"/>
          <w:i/>
          <w:sz w:val="24"/>
          <w:u w:val="none"/>
        </w:rPr>
        <w:t>Koepsell's Olde Popcorn Wagons, Inc. v. Koepsell's Festival Popcorn Wagons, Ltd.</w:t>
      </w:r>
      <w:r>
        <w:rPr>
          <w:rFonts w:ascii="Century Schoolbook" w:hAnsi="Century Schoolbook"/>
          <w:b w:val="0"/>
          <w:i w:val="0"/>
          <w:sz w:val="24"/>
          <w:u w:val="none"/>
        </w:rPr>
        <w:t>, 2004 WI App 129, ¶ 44. This motion does not re-argue the underlying motion, and it does not introduce evidence that could have been offered the first time.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B. FINAL JUDGMENT OR ORDER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 [NAME], pro se, respectfully moves this Court under Wis. Stat. § 806.07(1)([letter]) for relief from the [Judgment/Order] entered [DATE], on the ground of [the statutory ground, in the statute's words]. [Explain timeliness: all grounds require a reasonable time; grounds (1)(a) and (c) also have a one-year limit; a ground under (1)(b) must comply with § 805.16. Verify the specific ground and deadline under § 806.07(2).]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ARGUMENT</w:t>
      </w:r>
    </w:p>
    <w:p>
      <w:pPr>
        <w:keepNext/>
        <w:keepLines/>
        <w:spacing w:after="120" w:before="0" w:line="360" w:lineRule="auto"/>
        <w:jc w:val="left"/>
      </w:pPr>
      <w:r>
        <w:rPr>
          <w:rFonts w:ascii="Century Schoolbook" w:hAnsi="Century Schoolbook"/>
          <w:b/>
          <w:i w:val="0"/>
          <w:sz w:val="24"/>
          <w:u w:val="none"/>
        </w:rPr>
        <w:t>I. [The specific error, stated as a proposition.]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[Identify precisely what the Court held, why it is error, and what authority controls. Do not re-argue.]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WHEREFORE, Plaintiff respectfully requests that the Court [vacate / amend] its [DATE] [Order/Judgment] and [specific relief], and grant such other and further relief as the Court deems just and proper.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 xml:space="preserve">[Calendar the appeal deadline from the ORIGINAL judgment. A reconsideration motion that merely re-argues does not extend it, and its denial is not separately appealable. </w:t>
      </w:r>
      <w:r>
        <w:rPr>
          <w:rFonts w:ascii="Century Schoolbook" w:hAnsi="Century Schoolbook"/>
          <w:b w:val="0"/>
          <w:i/>
          <w:sz w:val="24"/>
          <w:u w:val="none"/>
        </w:rPr>
        <w:t>Silverton Enters. v. General Cas. Co.</w:t>
      </w:r>
      <w:r>
        <w:rPr>
          <w:rFonts w:ascii="Century Schoolbook" w:hAnsi="Century Schoolbook"/>
          <w:b w:val="0"/>
          <w:i w:val="0"/>
          <w:sz w:val="24"/>
          <w:u w:val="none"/>
        </w:rPr>
        <w:t>, 143 Wis. 2d 661 (Ct. App. 1988); § 806.07(2).]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tabs>
          <w:tab w:pos="4320" w:val="left"/>
        </w:tabs>
        <w:spacing w:after="0" w:before="0"/>
        <w:ind w:left="0"/>
      </w:pPr>
      <w:r>
        <w:rPr>
          <w:rFonts w:ascii="Century Schoolbook" w:hAnsi="Century Schoolbook"/>
          <w:b w:val="0"/>
          <w:i w:val="0"/>
          <w:sz w:val="24"/>
          <w:u w:val="none"/>
        </w:rPr>
        <w:t>Dated: [DATE]</w:t>
        <w:tab/>
      </w:r>
      <w:r>
        <w:rPr>
          <w:rFonts w:ascii="Century Schoolbook" w:hAnsi="Century Schoolbook"/>
          <w:b w:val="0"/>
          <w:i/>
          <w:sz w:val="24"/>
          <w:u w:val="none"/>
        </w:rPr>
        <w:t>Electronically signed by 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Plaintiff, pro se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ADDRESS], [CITY], WI [ZIP]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(___) ___-____</w:t>
      </w:r>
    </w:p>
    <w:p>
      <w:pPr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[email@example.com]</w:t>
      </w:r>
    </w:p>
    <w:sectPr w:rsidR="00FC693F" w:rsidRPr="0006063C" w:rsidSect="00034616">
      <w:headerReference w:type="first" r:id="rId9"/>
      <w:pgSz w:w="12240" w:h="15840"/>
      <w:pgMar w:top="720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