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STATE OF WISCONSIN                    CIRCUIT COURT</w:t>
      </w:r>
      <w:r>
        <w:rPr>
          <w:rFonts w:ascii="Century Schoolbook" w:hAnsi="Century Schoolbook"/>
          <w:b w:val="0"/>
          <w:i w:val="0"/>
          <w:sz w:val="24"/>
          <w:u w:val="none"/>
        </w:rPr>
        <w:tab/>
      </w:r>
      <w:r>
        <w:rPr>
          <w:rFonts w:ascii="Century Schoolbook" w:hAnsi="Century Schoolbook"/>
          <w:b w:val="0"/>
          <w:i w:val="0"/>
          <w:sz w:val="24"/>
          <w:u w:val="none"/>
        </w:rPr>
        <w:t>[COUNTY] COUNTY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[PARTY ONE],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ind w:firstLine="216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Plaintiff</w:t>
      </w:r>
    </w:p>
    <w:p>
      <w:pPr>
        <w:spacing w:after="0" w:before="0"/>
        <w:ind w:firstLine="504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Case No. [YYYY]-CV-[NNNNNN]</w:t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v.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[PARTY TWO],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ind w:firstLine="216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Defendant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  <w:jc w:val="center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center"/>
      </w:pPr>
      <w:r>
        <w:rPr>
          <w:rFonts w:ascii="Century Schoolbook" w:hAnsi="Century Schoolbook"/>
          <w:b/>
          <w:i w:val="0"/>
          <w:sz w:val="28"/>
          <w:u w:val="none"/>
        </w:rPr>
        <w:t>PLAINTIFF'S MOTION TO RECONSIDER [ORDER]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 xml:space="preserve">[USE ONE OF THE TWO OPENINGS BELOW. Wis. Stat. § 805.17(3) applies ONLY to findings after a trial to the court. Citing it to reconsider a summary judgment ruling or a non-final order is wrong. </w:t>
      </w:r>
      <w:r>
        <w:rPr>
          <w:rFonts w:ascii="Century Schoolbook" w:hAnsi="Century Schoolbook"/>
          <w:b w:val="0"/>
          <w:i/>
          <w:sz w:val="24"/>
          <w:u w:val="none"/>
        </w:rPr>
        <w:t>Teff v. Unity Health Plans Ins. Corp.</w:t>
      </w:r>
      <w:r>
        <w:rPr>
          <w:rFonts w:ascii="Century Schoolbook" w:hAnsi="Century Schoolbook"/>
          <w:b w:val="0"/>
          <w:i w:val="0"/>
          <w:sz w:val="24"/>
          <w:u w:val="none"/>
        </w:rPr>
        <w:t>, 2003 WI App 115.]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120" w:before="0" w:line="360" w:lineRule="auto"/>
        <w:jc w:val="center"/>
      </w:pPr>
      <w:r>
        <w:rPr>
          <w:rFonts w:ascii="Century Schoolbook" w:hAnsi="Century Schoolbook"/>
          <w:b/>
          <w:i w:val="0"/>
          <w:sz w:val="24"/>
          <w:u w:val="single"/>
        </w:rPr>
        <w:t>A. NON-FINAL ORDER</w:t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 xml:space="preserve">Plaintiff [NAME], pro se, respectfully moves this Court to reconsider its [DATE] Order [describing it]. That Order is non-final, and this Court “has the inherent authority to reconsider a nonfinal ruling any time prior to the entry of the final order or judgment.” </w:t>
      </w:r>
      <w:r>
        <w:rPr>
          <w:rFonts w:ascii="Century Schoolbook" w:hAnsi="Century Schoolbook"/>
          <w:b w:val="0"/>
          <w:i/>
          <w:sz w:val="24"/>
          <w:u w:val="none"/>
        </w:rPr>
        <w:t>Teff v. Unity Health Plans Ins. Corp.</w:t>
      </w:r>
      <w:r>
        <w:rPr>
          <w:rFonts w:ascii="Century Schoolbook" w:hAnsi="Century Schoolbook"/>
          <w:b w:val="0"/>
          <w:i w:val="0"/>
          <w:sz w:val="24"/>
          <w:u w:val="none"/>
        </w:rPr>
        <w:t xml:space="preserve">, 2003 WI App 115, ¶ 57. Reconsideration is warranted because the Order rests on [a manifest error of law / a manifest error of fact / newly discovered evidence]. </w:t>
      </w:r>
      <w:r>
        <w:rPr>
          <w:rFonts w:ascii="Century Schoolbook" w:hAnsi="Century Schoolbook"/>
          <w:b w:val="0"/>
          <w:i/>
          <w:sz w:val="24"/>
          <w:u w:val="none"/>
        </w:rPr>
        <w:t>Koepsell's Olde Popcorn Wagons, Inc. v. Koepsell's Festival Popcorn Wagons, Ltd.</w:t>
      </w:r>
      <w:r>
        <w:rPr>
          <w:rFonts w:ascii="Century Schoolbook" w:hAnsi="Century Schoolbook"/>
          <w:b w:val="0"/>
          <w:i w:val="0"/>
          <w:sz w:val="24"/>
          <w:u w:val="none"/>
        </w:rPr>
        <w:t>, 2004 WI App 129, ¶ 44. This motion does not re-argue the underlying motion, and it does not introduce evidence that could have been offered the first time.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120" w:before="0" w:line="360" w:lineRule="auto"/>
        <w:jc w:val="center"/>
      </w:pPr>
      <w:r>
        <w:rPr>
          <w:rFonts w:ascii="Century Schoolbook" w:hAnsi="Century Schoolbook"/>
          <w:b/>
          <w:i w:val="0"/>
          <w:sz w:val="24"/>
          <w:u w:val="single"/>
        </w:rPr>
        <w:t>B. FINAL JUDGMENT OR ORDER</w:t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Plaintiff [NAME], pro se, respectfully moves this Court under Wis. Stat. § 806.07(1)([letter]) for relief from the [Judgment/Order] entered [DATE], on the ground of [the statutory ground, in the statute's words]. [Explain timeliness: all grounds require a reasonable time; grounds (1)(a) and (c) also have a one-year limit; a ground under (1)(b) must comply with § 805.16. Verify the specific ground and deadline under § 806.07(2).]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120" w:before="0" w:line="360" w:lineRule="auto"/>
        <w:jc w:val="center"/>
      </w:pPr>
      <w:r>
        <w:rPr>
          <w:rFonts w:ascii="Century Schoolbook" w:hAnsi="Century Schoolbook"/>
          <w:b/>
          <w:i w:val="0"/>
          <w:sz w:val="24"/>
          <w:u w:val="single"/>
        </w:rPr>
        <w:t>ARGUMENT</w:t>
      </w:r>
    </w:p>
    <w:p>
      <w:pPr>
        <w:keepNext/>
        <w:keepLines/>
        <w:spacing w:after="120" w:before="0" w:line="360" w:lineRule="auto"/>
        <w:jc w:val="left"/>
      </w:pPr>
      <w:r>
        <w:rPr>
          <w:rFonts w:ascii="Century Schoolbook" w:hAnsi="Century Schoolbook"/>
          <w:b/>
          <w:i w:val="0"/>
          <w:sz w:val="24"/>
          <w:u w:val="none"/>
        </w:rPr>
        <w:t>I. [The specific error, stated as a proposition.]</w:t>
      </w:r>
    </w:p>
    <w:p>
      <w:pPr>
        <w:keepNext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[Identify precisely what the Court held, why it is error, and what authority controls. Do not re-argue.]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WHEREFORE, Plaintiff respectfully requests that the Court [vacate / amend] its [DATE] [Order/Judgment] and [specific relief], and grant such other and further relief as the Court deems just and proper.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 xml:space="preserve">[Calendar the appeal deadline from the ORIGINAL judgment. A reconsideration motion that merely re-argues does not extend it, and its denial is not separately appealable. </w:t>
      </w:r>
      <w:r>
        <w:rPr>
          <w:rFonts w:ascii="Century Schoolbook" w:hAnsi="Century Schoolbook"/>
          <w:b w:val="0"/>
          <w:i/>
          <w:sz w:val="24"/>
          <w:u w:val="none"/>
        </w:rPr>
        <w:t>Silverton Enters. v. General Cas. Co.</w:t>
      </w:r>
      <w:r>
        <w:rPr>
          <w:rFonts w:ascii="Century Schoolbook" w:hAnsi="Century Schoolbook"/>
          <w:b w:val="0"/>
          <w:i w:val="0"/>
          <w:sz w:val="24"/>
          <w:u w:val="none"/>
        </w:rPr>
        <w:t>, 143 Wis. 2d 661 (Ct. App. 1988); § 806.07(2).]</w:t>
      </w:r>
    </w:p>
    <w:p>
      <w:pPr>
        <w:keepNext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tabs>
          <w:tab w:pos="4320" w:val="left"/>
        </w:tabs>
        <w:spacing w:after="0" w:before="0"/>
        <w:ind w:left="0"/>
      </w:pPr>
      <w:r>
        <w:rPr>
          <w:rFonts w:ascii="Century Schoolbook" w:hAnsi="Century Schoolbook"/>
          <w:b w:val="0"/>
          <w:i w:val="0"/>
          <w:sz w:val="24"/>
          <w:u w:val="none"/>
        </w:rPr>
        <w:t>Dated: [DATE]</w:t>
        <w:tab/>
      </w:r>
      <w:r>
        <w:rPr>
          <w:rFonts w:ascii="Century Schoolbook" w:hAnsi="Century Schoolbook"/>
          <w:b w:val="0"/>
          <w:i/>
          <w:sz w:val="24"/>
          <w:u w:val="none"/>
        </w:rPr>
        <w:t>Electronically signed by [NAME]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[NAME]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Plaintiff, pro se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[STREET ADDRESS], [CITY], WI [ZIP]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(___) ___-____</w:t>
      </w:r>
    </w:p>
    <w:p>
      <w:pPr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[email@example.com]</w:t>
      </w:r>
    </w:p>
    <w:sectPr w:rsidR="00FC693F" w:rsidRPr="0006063C" w:rsidSect="00034616">
      <w:headerReference w:type="first" r:id="rId9"/>
      <w:pgSz w:w="12240" w:h="15840"/>
      <w:pgMar w:top="1368" w:right="1440" w:bottom="1368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</w:pPr>
    <w:r>
      <w:rPr>
        <w:sz w:val="24"/>
      </w:rPr>
      <w:br/>
      <w:br/>
      <w:br/>
      <w:br/>
      <w:br/>
      <w:br/>
      <w:br/>
      <w:br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Schoolbook" w:hAnsi="Century Schoolbook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