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BRIEF IN OPPOSITION TO DEFENDANT'S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INTRODUCTION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submits this Brief in Opposition to [the motion]. Plaintiff respectfully requests that the Court deny [the relief sought].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[The single strongest reason the motion fails, stated in two or three sentences, with the controlling authority. Case names take the builder's italic markup: </w:t>
      </w:r>
      <w:r>
        <w:rPr>
          <w:rFonts w:ascii="Century Schoolbook" w:hAnsi="Century Schoolbook"/>
          <w:b w:val="0"/>
          <w:i/>
          <w:sz w:val="24"/>
          <w:u w:val="none"/>
        </w:rPr>
        <w:t>Wis. Dep't of Workforce Dev. v. Wis. Labor &amp; Indus. Rev. Comm'n</w:t>
      </w:r>
      <w:r>
        <w:rPr>
          <w:rFonts w:ascii="Century Schoolbook" w:hAnsi="Century Schoolbook"/>
          <w:b w:val="0"/>
          <w:i w:val="0"/>
          <w:sz w:val="24"/>
          <w:u w:val="none"/>
        </w:rPr>
        <w:t>, 2016 WI App 21, ¶31 n.23, 367 Wis. 2d 609, 877 N.W.2d 620.]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[Proposition: why the movant cannot satisfy the governing standard.]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II. [Proposition: independent ground for denial.]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denying [the motion],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