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BRIEF IN SUPPORT OF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INTRODUCTION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[One sentence framing the dispute.] [Two to three sentences of the concrete problem.]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The relief requested is narrow and enforceable. Plaintiff asks the Court to [specific relief].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BACKGROUND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[Chronological, with record cites. (Doc. __:__)]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ARGUMENT</w:t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I. [Full-sentence proposition the Court could adopt, with the statutory or case hook.]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 xml:space="preserve">[Rule with citation, case name italicized with the builder's markup: </w:t>
      </w:r>
      <w:r>
        <w:rPr>
          <w:rFonts w:ascii="Century Schoolbook" w:hAnsi="Century Schoolbook"/>
          <w:b w:val="0"/>
          <w:i/>
          <w:sz w:val="24"/>
          <w:u w:val="none"/>
        </w:rPr>
        <w:t>State v. Salinas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, 2016 WI 44, ¶ 30, 369 Wis. 2d 9, 879 N.W.2d 609.] [Sub-rule or factor list. </w:t>
      </w:r>
      <w:r>
        <w:rPr>
          <w:rFonts w:ascii="Century Schoolbook" w:hAnsi="Century Schoolbook"/>
          <w:b w:val="0"/>
          <w:i/>
          <w:sz w:val="24"/>
          <w:u w:val="none"/>
        </w:rPr>
        <w:t>Id.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 ¶ 43.] [Application to these facts, naming the record. (Doc. __:__)] [Best counter-argument and the answer to it. </w:t>
      </w:r>
      <w:r>
        <w:rPr>
          <w:rFonts w:ascii="Century Schoolbook" w:hAnsi="Century Schoolbook"/>
          <w:b w:val="0"/>
          <w:i/>
          <w:sz w:val="24"/>
          <w:u w:val="none"/>
        </w:rPr>
        <w:t>See also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 Wis. Stat. § ___.]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ind w:left="720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A. [Sub-proposition, complete sentence.]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[Argument.]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II. [Second proposition.]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[Argument.]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CONCLUSION</w:t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WHEREFORE, Plaintiff respectfully requests that the Court enter an order [precise relief, matching the motion word for word], and granting such other and further relief as the Court deems just and proper.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1368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