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Table 1. Sequential formation of the financial analysis cohort.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rFonts w:ascii="Times New Roman" w:hAnsi="Times New Roman"/>
                <w:b/>
                <w:sz w:val="17"/>
              </w:rPr>
              <w:t>Sequential eligibility stage</w:t>
            </w:r>
          </w:p>
        </w:tc>
        <w:tc>
          <w:tcPr>
            <w:tcW w:type="dxa" w:w="2160"/>
          </w:tcPr>
          <w:p>
            <w:pPr>
              <w:jc w:val="center"/>
            </w:pPr>
            <w:r>
              <w:rPr>
                <w:rFonts w:ascii="Times New Roman" w:hAnsi="Times New Roman"/>
                <w:b/>
                <w:sz w:val="17"/>
              </w:rPr>
              <w:t>Windows</w:t>
            </w:r>
          </w:p>
        </w:tc>
        <w:tc>
          <w:tcPr>
            <w:tcW w:type="dxa" w:w="2160"/>
          </w:tcPr>
          <w:p>
            <w:pPr>
              <w:jc w:val="center"/>
            </w:pPr>
            <w:r>
              <w:rPr>
                <w:rFonts w:ascii="Times New Roman" w:hAnsi="Times New Roman"/>
                <w:b/>
                <w:sz w:val="17"/>
              </w:rPr>
              <w:t>CIKs</w:t>
            </w:r>
          </w:p>
        </w:tc>
        <w:tc>
          <w:tcPr>
            <w:tcW w:type="dxa" w:w="2160"/>
          </w:tcPr>
          <w:p>
            <w:pPr>
              <w:jc w:val="center"/>
            </w:pPr>
            <w:r>
              <w:rPr>
                <w:rFonts w:ascii="Times New Roman" w:hAnsi="Times New Roman"/>
                <w:b/>
                <w:sz w:val="17"/>
              </w:rPr>
              <w:t>Positive windows</w:t>
            </w:r>
          </w:p>
        </w:tc>
      </w:tr>
      <w:tr>
        <w:tc>
          <w:tcPr>
            <w:tcW w:type="dxa" w:w="2160"/>
          </w:tcPr>
          <w:p>
            <w:pPr>
              <w:jc w:val="center"/>
            </w:pPr>
            <w:r>
              <w:rPr>
                <w:rFonts w:ascii="Times New Roman" w:hAnsi="Times New Roman"/>
                <w:sz w:val="17"/>
              </w:rPr>
              <w:t>---</w:t>
            </w:r>
          </w:p>
        </w:tc>
        <w:tc>
          <w:tcPr>
            <w:tcW w:type="dxa" w:w="2160"/>
          </w:tcPr>
          <w:p>
            <w:pPr>
              <w:jc w:val="center"/>
            </w:pPr>
            <w:r>
              <w:rPr>
                <w:rFonts w:ascii="Times New Roman" w:hAnsi="Times New Roman"/>
                <w:sz w:val="17"/>
              </w:rPr>
              <w:t>---</w:t>
            </w:r>
          </w:p>
        </w:tc>
        <w:tc>
          <w:tcPr>
            <w:tcW w:type="dxa" w:w="2160"/>
          </w:tcPr>
          <w:p>
            <w:pPr>
              <w:jc w:val="center"/>
            </w:pPr>
            <w:r>
              <w:rPr>
                <w:rFonts w:ascii="Times New Roman" w:hAnsi="Times New Roman"/>
                <w:sz w:val="17"/>
              </w:rPr>
              <w:t>---</w:t>
            </w:r>
          </w:p>
        </w:tc>
        <w:tc>
          <w:tcPr>
            <w:tcW w:type="dxa" w:w="2160"/>
          </w:tcPr>
          <w:p>
            <w:pPr>
              <w:jc w:val="center"/>
            </w:pPr>
            <w:r>
              <w:rPr>
                <w:rFonts w:ascii="Times New Roman" w:hAnsi="Times New Roman"/>
                <w:sz w:val="17"/>
              </w:rPr>
              <w:t>---</w:t>
            </w:r>
          </w:p>
        </w:tc>
      </w:tr>
      <w:tr>
        <w:tc>
          <w:tcPr>
            <w:tcW w:type="dxa" w:w="2160"/>
          </w:tcPr>
          <w:p>
            <w:pPr>
              <w:jc w:val="left"/>
            </w:pPr>
            <w:r>
              <w:rPr>
                <w:rFonts w:ascii="Times New Roman" w:hAnsi="Times New Roman"/>
                <w:sz w:val="17"/>
              </w:rPr>
              <w:t>selected CIKs with parsed annual filings and accessible facts</w:t>
            </w:r>
          </w:p>
        </w:tc>
        <w:tc>
          <w:tcPr>
            <w:tcW w:type="dxa" w:w="2160"/>
          </w:tcPr>
          <w:p>
            <w:pPr>
              <w:jc w:val="center"/>
            </w:pPr>
            <w:r>
              <w:rPr>
                <w:rFonts w:ascii="Times New Roman" w:hAnsi="Times New Roman"/>
                <w:sz w:val="17"/>
              </w:rPr>
              <w:t>9,789</w:t>
            </w:r>
          </w:p>
        </w:tc>
        <w:tc>
          <w:tcPr>
            <w:tcW w:type="dxa" w:w="2160"/>
          </w:tcPr>
          <w:p>
            <w:pPr>
              <w:jc w:val="center"/>
            </w:pPr>
            <w:r>
              <w:rPr>
                <w:rFonts w:ascii="Times New Roman" w:hAnsi="Times New Roman"/>
                <w:sz w:val="17"/>
              </w:rPr>
              <w:t>1,203</w:t>
            </w:r>
          </w:p>
        </w:tc>
        <w:tc>
          <w:tcPr>
            <w:tcW w:type="dxa" w:w="2160"/>
          </w:tcPr>
          <w:p>
            <w:pPr>
              <w:jc w:val="center"/>
            </w:pPr>
            <w:r>
              <w:rPr>
                <w:rFonts w:ascii="Times New Roman" w:hAnsi="Times New Roman"/>
                <w:sz w:val="17"/>
              </w:rPr>
              <w:t>233</w:t>
            </w:r>
          </w:p>
        </w:tc>
      </w:tr>
      <w:tr>
        <w:tc>
          <w:tcPr>
            <w:tcW w:type="dxa" w:w="2160"/>
          </w:tcPr>
          <w:p>
            <w:pPr>
              <w:jc w:val="left"/>
            </w:pPr>
            <w:r>
              <w:rPr>
                <w:rFonts w:ascii="Times New Roman" w:hAnsi="Times New Roman"/>
                <w:sz w:val="17"/>
              </w:rPr>
              <w:t>decision date 2010-2021</w:t>
            </w:r>
          </w:p>
        </w:tc>
        <w:tc>
          <w:tcPr>
            <w:tcW w:type="dxa" w:w="2160"/>
          </w:tcPr>
          <w:p>
            <w:pPr>
              <w:jc w:val="center"/>
            </w:pPr>
            <w:r>
              <w:rPr>
                <w:rFonts w:ascii="Times New Roman" w:hAnsi="Times New Roman"/>
                <w:sz w:val="17"/>
              </w:rPr>
              <w:t>8,398</w:t>
            </w:r>
          </w:p>
        </w:tc>
        <w:tc>
          <w:tcPr>
            <w:tcW w:type="dxa" w:w="2160"/>
          </w:tcPr>
          <w:p>
            <w:pPr>
              <w:jc w:val="center"/>
            </w:pPr>
            <w:r>
              <w:rPr>
                <w:rFonts w:ascii="Times New Roman" w:hAnsi="Times New Roman"/>
                <w:sz w:val="17"/>
              </w:rPr>
              <w:t>1,203</w:t>
            </w:r>
          </w:p>
        </w:tc>
        <w:tc>
          <w:tcPr>
            <w:tcW w:type="dxa" w:w="2160"/>
          </w:tcPr>
          <w:p>
            <w:pPr>
              <w:jc w:val="center"/>
            </w:pPr>
            <w:r>
              <w:rPr>
                <w:rFonts w:ascii="Times New Roman" w:hAnsi="Times New Roman"/>
                <w:sz w:val="17"/>
              </w:rPr>
              <w:t>209</w:t>
            </w:r>
          </w:p>
        </w:tc>
      </w:tr>
      <w:tr>
        <w:tc>
          <w:tcPr>
            <w:tcW w:type="dxa" w:w="2160"/>
          </w:tcPr>
          <w:p>
            <w:pPr>
              <w:jc w:val="left"/>
            </w:pPr>
            <w:r>
              <w:rPr>
                <w:rFonts w:ascii="Times New Roman" w:hAnsi="Times New Roman"/>
                <w:sz w:val="17"/>
              </w:rPr>
              <w:t>CIK/accession/date exists in historical annual frame</w:t>
            </w:r>
          </w:p>
        </w:tc>
        <w:tc>
          <w:tcPr>
            <w:tcW w:type="dxa" w:w="2160"/>
          </w:tcPr>
          <w:p>
            <w:pPr>
              <w:jc w:val="center"/>
            </w:pPr>
            <w:r>
              <w:rPr>
                <w:rFonts w:ascii="Times New Roman" w:hAnsi="Times New Roman"/>
                <w:sz w:val="17"/>
              </w:rPr>
              <w:t>8,398</w:t>
            </w:r>
          </w:p>
        </w:tc>
        <w:tc>
          <w:tcPr>
            <w:tcW w:type="dxa" w:w="2160"/>
          </w:tcPr>
          <w:p>
            <w:pPr>
              <w:jc w:val="center"/>
            </w:pPr>
            <w:r>
              <w:rPr>
                <w:rFonts w:ascii="Times New Roman" w:hAnsi="Times New Roman"/>
                <w:sz w:val="17"/>
              </w:rPr>
              <w:t>1,203</w:t>
            </w:r>
          </w:p>
        </w:tc>
        <w:tc>
          <w:tcPr>
            <w:tcW w:type="dxa" w:w="2160"/>
          </w:tcPr>
          <w:p>
            <w:pPr>
              <w:jc w:val="center"/>
            </w:pPr>
            <w:r>
              <w:rPr>
                <w:rFonts w:ascii="Times New Roman" w:hAnsi="Times New Roman"/>
                <w:sz w:val="17"/>
              </w:rPr>
              <w:t>209</w:t>
            </w:r>
          </w:p>
        </w:tc>
      </w:tr>
      <w:tr>
        <w:tc>
          <w:tcPr>
            <w:tcW w:type="dxa" w:w="2160"/>
          </w:tcPr>
          <w:p>
            <w:pPr>
              <w:jc w:val="left"/>
            </w:pPr>
            <w:r>
              <w:rPr>
                <w:rFonts w:ascii="Times New Roman" w:hAnsi="Times New Roman"/>
                <w:sz w:val="17"/>
              </w:rPr>
              <w:t>strictly before first directly linked registry event</w:t>
            </w:r>
          </w:p>
        </w:tc>
        <w:tc>
          <w:tcPr>
            <w:tcW w:type="dxa" w:w="2160"/>
          </w:tcPr>
          <w:p>
            <w:pPr>
              <w:jc w:val="center"/>
            </w:pPr>
            <w:r>
              <w:rPr>
                <w:rFonts w:ascii="Times New Roman" w:hAnsi="Times New Roman"/>
                <w:sz w:val="17"/>
              </w:rPr>
              <w:t>7,426</w:t>
            </w:r>
          </w:p>
        </w:tc>
        <w:tc>
          <w:tcPr>
            <w:tcW w:type="dxa" w:w="2160"/>
          </w:tcPr>
          <w:p>
            <w:pPr>
              <w:jc w:val="center"/>
            </w:pPr>
            <w:r>
              <w:rPr>
                <w:rFonts w:ascii="Times New Roman" w:hAnsi="Times New Roman"/>
                <w:sz w:val="17"/>
              </w:rPr>
              <w:t>1,120</w:t>
            </w:r>
          </w:p>
        </w:tc>
        <w:tc>
          <w:tcPr>
            <w:tcW w:type="dxa" w:w="2160"/>
          </w:tcPr>
          <w:p>
            <w:pPr>
              <w:jc w:val="center"/>
            </w:pPr>
            <w:r>
              <w:rPr>
                <w:rFonts w:ascii="Times New Roman" w:hAnsi="Times New Roman"/>
                <w:sz w:val="17"/>
              </w:rPr>
              <w:t>209</w:t>
            </w:r>
          </w:p>
        </w:tc>
      </w:tr>
      <w:tr>
        <w:tc>
          <w:tcPr>
            <w:tcW w:type="dxa" w:w="2160"/>
          </w:tcPr>
          <w:p>
            <w:pPr>
              <w:jc w:val="left"/>
            </w:pPr>
            <w:r>
              <w:rPr>
                <w:rFonts w:ascii="Times New Roman" w:hAnsi="Times New Roman"/>
                <w:sz w:val="17"/>
              </w:rPr>
              <w:t>original-accession positive assets</w:t>
            </w:r>
          </w:p>
        </w:tc>
        <w:tc>
          <w:tcPr>
            <w:tcW w:type="dxa" w:w="2160"/>
          </w:tcPr>
          <w:p>
            <w:pPr>
              <w:jc w:val="center"/>
            </w:pPr>
            <w:r>
              <w:rPr>
                <w:rFonts w:ascii="Times New Roman" w:hAnsi="Times New Roman"/>
                <w:sz w:val="17"/>
              </w:rPr>
              <w:t>5,502</w:t>
            </w:r>
          </w:p>
        </w:tc>
        <w:tc>
          <w:tcPr>
            <w:tcW w:type="dxa" w:w="2160"/>
          </w:tcPr>
          <w:p>
            <w:pPr>
              <w:jc w:val="center"/>
            </w:pPr>
            <w:r>
              <w:rPr>
                <w:rFonts w:ascii="Times New Roman" w:hAnsi="Times New Roman"/>
                <w:sz w:val="17"/>
              </w:rPr>
              <w:t>990</w:t>
            </w:r>
          </w:p>
        </w:tc>
        <w:tc>
          <w:tcPr>
            <w:tcW w:type="dxa" w:w="2160"/>
          </w:tcPr>
          <w:p>
            <w:pPr>
              <w:jc w:val="center"/>
            </w:pPr>
            <w:r>
              <w:rPr>
                <w:rFonts w:ascii="Times New Roman" w:hAnsi="Times New Roman"/>
                <w:sz w:val="17"/>
              </w:rPr>
              <w:t>188</w:t>
            </w:r>
          </w:p>
        </w:tc>
      </w:tr>
      <w:tr>
        <w:tc>
          <w:tcPr>
            <w:tcW w:type="dxa" w:w="2160"/>
          </w:tcPr>
          <w:p>
            <w:pPr>
              <w:jc w:val="left"/>
            </w:pPr>
            <w:r>
              <w:rPr>
                <w:rFonts w:ascii="Times New Roman" w:hAnsi="Times New Roman"/>
                <w:sz w:val="17"/>
              </w:rPr>
              <w:t>nonnegative reporting lag</w:t>
            </w:r>
          </w:p>
        </w:tc>
        <w:tc>
          <w:tcPr>
            <w:tcW w:type="dxa" w:w="2160"/>
          </w:tcPr>
          <w:p>
            <w:pPr>
              <w:jc w:val="center"/>
            </w:pPr>
            <w:r>
              <w:rPr>
                <w:rFonts w:ascii="Times New Roman" w:hAnsi="Times New Roman"/>
                <w:sz w:val="17"/>
              </w:rPr>
              <w:t>5,502</w:t>
            </w:r>
          </w:p>
        </w:tc>
        <w:tc>
          <w:tcPr>
            <w:tcW w:type="dxa" w:w="2160"/>
          </w:tcPr>
          <w:p>
            <w:pPr>
              <w:jc w:val="center"/>
            </w:pPr>
            <w:r>
              <w:rPr>
                <w:rFonts w:ascii="Times New Roman" w:hAnsi="Times New Roman"/>
                <w:sz w:val="17"/>
              </w:rPr>
              <w:t>990</w:t>
            </w:r>
          </w:p>
        </w:tc>
        <w:tc>
          <w:tcPr>
            <w:tcW w:type="dxa" w:w="2160"/>
          </w:tcPr>
          <w:p>
            <w:pPr>
              <w:jc w:val="center"/>
            </w:pPr>
            <w:r>
              <w:rPr>
                <w:rFonts w:ascii="Times New Roman" w:hAnsi="Times New Roman"/>
                <w:sz w:val="17"/>
              </w:rPr>
              <w:t>188</w:t>
            </w:r>
          </w:p>
        </w:tc>
      </w:tr>
    </w:tbl>
    <w:p>
      <w:r>
        <w:t>Note: Counts are unweighted. The first row is the parsed annual report candidate pool among selected identifiers with accessible facts, not the complete historical frame. Positive assets is the implemented eligibility gate. The 188 event linked identifiers are not necessarily independent legal corporate group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