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2. Crossed version validation matrix and decomposition of the tuned LightGBM difference.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rFonts w:ascii="Times New Roman" w:hAnsi="Times New Roman"/>
                <w:b/>
                <w:sz w:val="17"/>
              </w:rPr>
              <w:t>Test block</w:t>
            </w:r>
          </w:p>
        </w:tc>
        <w:tc>
          <w:tcPr>
            <w:tcW w:type="dxa" w:w="960"/>
          </w:tcPr>
          <w:p>
            <w:pPr>
              <w:jc w:val="center"/>
            </w:pPr>
            <w:r>
              <w:rPr>
                <w:rFonts w:ascii="Times New Roman" w:hAnsi="Times New Roman"/>
                <w:b/>
                <w:sz w:val="17"/>
              </w:rPr>
              <w:t>AA</w:t>
            </w:r>
          </w:p>
        </w:tc>
        <w:tc>
          <w:tcPr>
            <w:tcW w:type="dxa" w:w="960"/>
          </w:tcPr>
          <w:p>
            <w:pPr>
              <w:jc w:val="center"/>
            </w:pPr>
            <w:r>
              <w:rPr>
                <w:rFonts w:ascii="Times New Roman" w:hAnsi="Times New Roman"/>
                <w:b/>
                <w:sz w:val="17"/>
              </w:rPr>
              <w:t>AB</w:t>
            </w:r>
          </w:p>
        </w:tc>
        <w:tc>
          <w:tcPr>
            <w:tcW w:type="dxa" w:w="960"/>
          </w:tcPr>
          <w:p>
            <w:pPr>
              <w:jc w:val="center"/>
            </w:pPr>
            <w:r>
              <w:rPr>
                <w:rFonts w:ascii="Times New Roman" w:hAnsi="Times New Roman"/>
                <w:b/>
                <w:sz w:val="17"/>
              </w:rPr>
              <w:t>BA</w:t>
            </w:r>
          </w:p>
        </w:tc>
        <w:tc>
          <w:tcPr>
            <w:tcW w:type="dxa" w:w="960"/>
          </w:tcPr>
          <w:p>
            <w:pPr>
              <w:jc w:val="center"/>
            </w:pPr>
            <w:r>
              <w:rPr>
                <w:rFonts w:ascii="Times New Roman" w:hAnsi="Times New Roman"/>
                <w:b/>
                <w:sz w:val="17"/>
              </w:rPr>
              <w:t>BB</w:t>
            </w:r>
          </w:p>
        </w:tc>
        <w:tc>
          <w:tcPr>
            <w:tcW w:type="dxa" w:w="960"/>
          </w:tcPr>
          <w:p>
            <w:pPr>
              <w:jc w:val="center"/>
            </w:pPr>
            <w:r>
              <w:rPr>
                <w:rFonts w:ascii="Times New Roman" w:hAnsi="Times New Roman"/>
                <w:b/>
                <w:sz w:val="17"/>
              </w:rPr>
              <w:t>I</w:t>
            </w:r>
          </w:p>
        </w:tc>
        <w:tc>
          <w:tcPr>
            <w:tcW w:type="dxa" w:w="960"/>
          </w:tcPr>
          <w:p>
            <w:pPr>
              <w:jc w:val="center"/>
            </w:pPr>
            <w:r>
              <w:rPr>
                <w:rFonts w:ascii="Times New Roman" w:hAnsi="Times New Roman"/>
                <w:b/>
                <w:sz w:val="17"/>
              </w:rPr>
              <w:t>F</w:t>
            </w:r>
          </w:p>
        </w:tc>
        <w:tc>
          <w:tcPr>
            <w:tcW w:type="dxa" w:w="960"/>
          </w:tcPr>
          <w:p>
            <w:pPr>
              <w:jc w:val="center"/>
            </w:pPr>
            <w:r>
              <w:rPr>
                <w:rFonts w:ascii="Times New Roman" w:hAnsi="Times New Roman"/>
                <w:b/>
                <w:sz w:val="17"/>
              </w:rPr>
              <w:t>J</w:t>
            </w:r>
          </w:p>
        </w:tc>
        <w:tc>
          <w:tcPr>
            <w:tcW w:type="dxa" w:w="960"/>
          </w:tcPr>
          <w:p>
            <w:pPr>
              <w:jc w:val="center"/>
            </w:pPr>
            <w:r>
              <w:rPr>
                <w:rFonts w:ascii="Times New Roman" w:hAnsi="Times New Roman"/>
                <w:b/>
                <w:sz w:val="17"/>
              </w:rPr>
              <w:t>Total</w:t>
            </w:r>
          </w:p>
        </w:tc>
      </w:tr>
      <w:tr>
        <w:tc>
          <w:tcPr>
            <w:tcW w:type="dxa" w:w="960"/>
          </w:tcPr>
          <w:p>
            <w:pPr>
              <w:jc w:val="center"/>
            </w:pPr>
            <w:r>
              <w:rPr>
                <w:rFonts w:ascii="Times New Roman" w:hAnsi="Times New Roman"/>
                <w:sz w:val="17"/>
              </w:rPr>
              <w:t>---</w:t>
            </w:r>
          </w:p>
        </w:tc>
        <w:tc>
          <w:tcPr>
            <w:tcW w:type="dxa" w:w="960"/>
          </w:tcPr>
          <w:p>
            <w:pPr>
              <w:jc w:val="center"/>
            </w:pPr>
            <w:r>
              <w:rPr>
                <w:rFonts w:ascii="Times New Roman" w:hAnsi="Times New Roman"/>
                <w:sz w:val="17"/>
              </w:rPr>
              <w:t>---</w:t>
            </w:r>
          </w:p>
        </w:tc>
        <w:tc>
          <w:tcPr>
            <w:tcW w:type="dxa" w:w="960"/>
          </w:tcPr>
          <w:p>
            <w:pPr>
              <w:jc w:val="center"/>
            </w:pPr>
            <w:r>
              <w:rPr>
                <w:rFonts w:ascii="Times New Roman" w:hAnsi="Times New Roman"/>
                <w:sz w:val="17"/>
              </w:rPr>
              <w:t>---</w:t>
            </w:r>
          </w:p>
        </w:tc>
        <w:tc>
          <w:tcPr>
            <w:tcW w:type="dxa" w:w="960"/>
          </w:tcPr>
          <w:p>
            <w:pPr>
              <w:jc w:val="center"/>
            </w:pPr>
            <w:r>
              <w:rPr>
                <w:rFonts w:ascii="Times New Roman" w:hAnsi="Times New Roman"/>
                <w:sz w:val="17"/>
              </w:rPr>
              <w:t>---</w:t>
            </w:r>
          </w:p>
        </w:tc>
        <w:tc>
          <w:tcPr>
            <w:tcW w:type="dxa" w:w="960"/>
          </w:tcPr>
          <w:p>
            <w:pPr>
              <w:jc w:val="center"/>
            </w:pPr>
            <w:r>
              <w:rPr>
                <w:rFonts w:ascii="Times New Roman" w:hAnsi="Times New Roman"/>
                <w:sz w:val="17"/>
              </w:rPr>
              <w:t>---</w:t>
            </w:r>
          </w:p>
        </w:tc>
        <w:tc>
          <w:tcPr>
            <w:tcW w:type="dxa" w:w="960"/>
          </w:tcPr>
          <w:p>
            <w:pPr>
              <w:jc w:val="center"/>
            </w:pPr>
            <w:r>
              <w:rPr>
                <w:rFonts w:ascii="Times New Roman" w:hAnsi="Times New Roman"/>
                <w:sz w:val="17"/>
              </w:rPr>
              <w:t>---</w:t>
            </w:r>
          </w:p>
        </w:tc>
        <w:tc>
          <w:tcPr>
            <w:tcW w:type="dxa" w:w="960"/>
          </w:tcPr>
          <w:p>
            <w:pPr>
              <w:jc w:val="center"/>
            </w:pPr>
            <w:r>
              <w:rPr>
                <w:rFonts w:ascii="Times New Roman" w:hAnsi="Times New Roman"/>
                <w:sz w:val="17"/>
              </w:rPr>
              <w:t>---</w:t>
            </w:r>
          </w:p>
        </w:tc>
        <w:tc>
          <w:tcPr>
            <w:tcW w:type="dxa" w:w="960"/>
          </w:tcPr>
          <w:p>
            <w:pPr>
              <w:jc w:val="center"/>
            </w:pPr>
            <w:r>
              <w:rPr>
                <w:rFonts w:ascii="Times New Roman" w:hAnsi="Times New Roman"/>
                <w:sz w:val="17"/>
              </w:rPr>
              <w:t>---</w:t>
            </w:r>
          </w:p>
        </w:tc>
        <w:tc>
          <w:tcPr>
            <w:tcW w:type="dxa" w:w="960"/>
          </w:tcPr>
          <w:p>
            <w:pPr>
              <w:jc w:val="center"/>
            </w:pPr>
            <w:r>
              <w:rPr>
                <w:rFonts w:ascii="Times New Roman" w:hAnsi="Times New Roman"/>
                <w:sz w:val="17"/>
              </w:rPr>
              <w:t>---</w:t>
            </w:r>
          </w:p>
        </w:tc>
      </w:tr>
      <w:tr>
        <w:tc>
          <w:tcPr>
            <w:tcW w:type="dxa" w:w="960"/>
          </w:tcPr>
          <w:p>
            <w:pPr>
              <w:jc w:val="center"/>
            </w:pPr>
            <w:r>
              <w:rPr>
                <w:rFonts w:ascii="Times New Roman" w:hAnsi="Times New Roman"/>
                <w:sz w:val="17"/>
              </w:rPr>
              <w:t>2016-2017</w:t>
            </w:r>
          </w:p>
        </w:tc>
        <w:tc>
          <w:tcPr>
            <w:tcW w:type="dxa" w:w="960"/>
          </w:tcPr>
          <w:p>
            <w:pPr>
              <w:jc w:val="center"/>
            </w:pPr>
            <w:r>
              <w:rPr>
                <w:rFonts w:ascii="Times New Roman" w:hAnsi="Times New Roman"/>
                <w:sz w:val="17"/>
              </w:rPr>
              <w:t>24.747</w:t>
            </w:r>
          </w:p>
        </w:tc>
        <w:tc>
          <w:tcPr>
            <w:tcW w:type="dxa" w:w="960"/>
          </w:tcPr>
          <w:p>
            <w:pPr>
              <w:jc w:val="center"/>
            </w:pPr>
            <w:r>
              <w:rPr>
                <w:rFonts w:ascii="Times New Roman" w:hAnsi="Times New Roman"/>
                <w:sz w:val="17"/>
              </w:rPr>
              <w:t>21.970</w:t>
            </w:r>
          </w:p>
        </w:tc>
        <w:tc>
          <w:tcPr>
            <w:tcW w:type="dxa" w:w="960"/>
          </w:tcPr>
          <w:p>
            <w:pPr>
              <w:jc w:val="center"/>
            </w:pPr>
            <w:r>
              <w:rPr>
                <w:rFonts w:ascii="Times New Roman" w:hAnsi="Times New Roman"/>
                <w:sz w:val="17"/>
              </w:rPr>
              <w:t>29.692</w:t>
            </w:r>
          </w:p>
        </w:tc>
        <w:tc>
          <w:tcPr>
            <w:tcW w:type="dxa" w:w="960"/>
          </w:tcPr>
          <w:p>
            <w:pPr>
              <w:jc w:val="center"/>
            </w:pPr>
            <w:r>
              <w:rPr>
                <w:rFonts w:ascii="Times New Roman" w:hAnsi="Times New Roman"/>
                <w:sz w:val="17"/>
              </w:rPr>
              <w:t>27.586</w:t>
            </w:r>
          </w:p>
        </w:tc>
        <w:tc>
          <w:tcPr>
            <w:tcW w:type="dxa" w:w="960"/>
          </w:tcPr>
          <w:p>
            <w:pPr>
              <w:jc w:val="center"/>
            </w:pPr>
            <w:r>
              <w:rPr>
                <w:rFonts w:ascii="Times New Roman" w:hAnsi="Times New Roman"/>
                <w:sz w:val="17"/>
              </w:rPr>
              <w:t>-2.777</w:t>
            </w:r>
          </w:p>
        </w:tc>
        <w:tc>
          <w:tcPr>
            <w:tcW w:type="dxa" w:w="960"/>
          </w:tcPr>
          <w:p>
            <w:pPr>
              <w:jc w:val="center"/>
            </w:pPr>
            <w:r>
              <w:rPr>
                <w:rFonts w:ascii="Times New Roman" w:hAnsi="Times New Roman"/>
                <w:sz w:val="17"/>
              </w:rPr>
              <w:t>4.945</w:t>
            </w:r>
          </w:p>
        </w:tc>
        <w:tc>
          <w:tcPr>
            <w:tcW w:type="dxa" w:w="960"/>
          </w:tcPr>
          <w:p>
            <w:pPr>
              <w:jc w:val="center"/>
            </w:pPr>
            <w:r>
              <w:rPr>
                <w:rFonts w:ascii="Times New Roman" w:hAnsi="Times New Roman"/>
                <w:sz w:val="17"/>
              </w:rPr>
              <w:t>0.671</w:t>
            </w:r>
          </w:p>
        </w:tc>
        <w:tc>
          <w:tcPr>
            <w:tcW w:type="dxa" w:w="960"/>
          </w:tcPr>
          <w:p>
            <w:pPr>
              <w:jc w:val="center"/>
            </w:pPr>
            <w:r>
              <w:rPr>
                <w:rFonts w:ascii="Times New Roman" w:hAnsi="Times New Roman"/>
                <w:sz w:val="17"/>
              </w:rPr>
              <w:t>2.839</w:t>
            </w:r>
          </w:p>
        </w:tc>
      </w:tr>
      <w:tr>
        <w:tc>
          <w:tcPr>
            <w:tcW w:type="dxa" w:w="960"/>
          </w:tcPr>
          <w:p>
            <w:pPr>
              <w:jc w:val="center"/>
            </w:pPr>
            <w:r>
              <w:rPr>
                <w:rFonts w:ascii="Times New Roman" w:hAnsi="Times New Roman"/>
                <w:sz w:val="17"/>
              </w:rPr>
              <w:t>2018-2019</w:t>
            </w:r>
          </w:p>
        </w:tc>
        <w:tc>
          <w:tcPr>
            <w:tcW w:type="dxa" w:w="960"/>
          </w:tcPr>
          <w:p>
            <w:pPr>
              <w:jc w:val="center"/>
            </w:pPr>
            <w:r>
              <w:rPr>
                <w:rFonts w:ascii="Times New Roman" w:hAnsi="Times New Roman"/>
                <w:sz w:val="17"/>
              </w:rPr>
              <w:t>15.564</w:t>
            </w:r>
          </w:p>
        </w:tc>
        <w:tc>
          <w:tcPr>
            <w:tcW w:type="dxa" w:w="960"/>
          </w:tcPr>
          <w:p>
            <w:pPr>
              <w:jc w:val="center"/>
            </w:pPr>
            <w:r>
              <w:rPr>
                <w:rFonts w:ascii="Times New Roman" w:hAnsi="Times New Roman"/>
                <w:sz w:val="17"/>
              </w:rPr>
              <w:t>16.932</w:t>
            </w:r>
          </w:p>
        </w:tc>
        <w:tc>
          <w:tcPr>
            <w:tcW w:type="dxa" w:w="960"/>
          </w:tcPr>
          <w:p>
            <w:pPr>
              <w:jc w:val="center"/>
            </w:pPr>
            <w:r>
              <w:rPr>
                <w:rFonts w:ascii="Times New Roman" w:hAnsi="Times New Roman"/>
                <w:sz w:val="17"/>
              </w:rPr>
              <w:t>16.997</w:t>
            </w:r>
          </w:p>
        </w:tc>
        <w:tc>
          <w:tcPr>
            <w:tcW w:type="dxa" w:w="960"/>
          </w:tcPr>
          <w:p>
            <w:pPr>
              <w:jc w:val="center"/>
            </w:pPr>
            <w:r>
              <w:rPr>
                <w:rFonts w:ascii="Times New Roman" w:hAnsi="Times New Roman"/>
                <w:sz w:val="17"/>
              </w:rPr>
              <w:t>18.332</w:t>
            </w:r>
          </w:p>
        </w:tc>
        <w:tc>
          <w:tcPr>
            <w:tcW w:type="dxa" w:w="960"/>
          </w:tcPr>
          <w:p>
            <w:pPr>
              <w:jc w:val="center"/>
            </w:pPr>
            <w:r>
              <w:rPr>
                <w:rFonts w:ascii="Times New Roman" w:hAnsi="Times New Roman"/>
                <w:sz w:val="17"/>
              </w:rPr>
              <w:t>1.367</w:t>
            </w:r>
          </w:p>
        </w:tc>
        <w:tc>
          <w:tcPr>
            <w:tcW w:type="dxa" w:w="960"/>
          </w:tcPr>
          <w:p>
            <w:pPr>
              <w:jc w:val="center"/>
            </w:pPr>
            <w:r>
              <w:rPr>
                <w:rFonts w:ascii="Times New Roman" w:hAnsi="Times New Roman"/>
                <w:sz w:val="17"/>
              </w:rPr>
              <w:t>1.432</w:t>
            </w:r>
          </w:p>
        </w:tc>
        <w:tc>
          <w:tcPr>
            <w:tcW w:type="dxa" w:w="960"/>
          </w:tcPr>
          <w:p>
            <w:pPr>
              <w:jc w:val="center"/>
            </w:pPr>
            <w:r>
              <w:rPr>
                <w:rFonts w:ascii="Times New Roman" w:hAnsi="Times New Roman"/>
                <w:sz w:val="17"/>
              </w:rPr>
              <w:t>-0.032</w:t>
            </w:r>
          </w:p>
        </w:tc>
        <w:tc>
          <w:tcPr>
            <w:tcW w:type="dxa" w:w="960"/>
          </w:tcPr>
          <w:p>
            <w:pPr>
              <w:jc w:val="center"/>
            </w:pPr>
            <w:r>
              <w:rPr>
                <w:rFonts w:ascii="Times New Roman" w:hAnsi="Times New Roman"/>
                <w:sz w:val="17"/>
              </w:rPr>
              <w:t>2.768</w:t>
            </w:r>
          </w:p>
        </w:tc>
      </w:tr>
      <w:tr>
        <w:tc>
          <w:tcPr>
            <w:tcW w:type="dxa" w:w="960"/>
          </w:tcPr>
          <w:p>
            <w:pPr>
              <w:jc w:val="center"/>
            </w:pPr>
            <w:r>
              <w:rPr>
                <w:rFonts w:ascii="Times New Roman" w:hAnsi="Times New Roman"/>
                <w:sz w:val="17"/>
              </w:rPr>
              <w:t>2020-2021</w:t>
            </w:r>
          </w:p>
        </w:tc>
        <w:tc>
          <w:tcPr>
            <w:tcW w:type="dxa" w:w="960"/>
          </w:tcPr>
          <w:p>
            <w:pPr>
              <w:jc w:val="center"/>
            </w:pPr>
            <w:r>
              <w:rPr>
                <w:rFonts w:ascii="Times New Roman" w:hAnsi="Times New Roman"/>
                <w:sz w:val="17"/>
              </w:rPr>
              <w:t>7.390</w:t>
            </w:r>
          </w:p>
        </w:tc>
        <w:tc>
          <w:tcPr>
            <w:tcW w:type="dxa" w:w="960"/>
          </w:tcPr>
          <w:p>
            <w:pPr>
              <w:jc w:val="center"/>
            </w:pPr>
            <w:r>
              <w:rPr>
                <w:rFonts w:ascii="Times New Roman" w:hAnsi="Times New Roman"/>
                <w:sz w:val="17"/>
              </w:rPr>
              <w:t>7.502</w:t>
            </w:r>
          </w:p>
        </w:tc>
        <w:tc>
          <w:tcPr>
            <w:tcW w:type="dxa" w:w="960"/>
          </w:tcPr>
          <w:p>
            <w:pPr>
              <w:jc w:val="center"/>
            </w:pPr>
            <w:r>
              <w:rPr>
                <w:rFonts w:ascii="Times New Roman" w:hAnsi="Times New Roman"/>
                <w:sz w:val="17"/>
              </w:rPr>
              <w:t>9.291</w:t>
            </w:r>
          </w:p>
        </w:tc>
        <w:tc>
          <w:tcPr>
            <w:tcW w:type="dxa" w:w="960"/>
          </w:tcPr>
          <w:p>
            <w:pPr>
              <w:jc w:val="center"/>
            </w:pPr>
            <w:r>
              <w:rPr>
                <w:rFonts w:ascii="Times New Roman" w:hAnsi="Times New Roman"/>
                <w:sz w:val="17"/>
              </w:rPr>
              <w:t>9.156</w:t>
            </w:r>
          </w:p>
        </w:tc>
        <w:tc>
          <w:tcPr>
            <w:tcW w:type="dxa" w:w="960"/>
          </w:tcPr>
          <w:p>
            <w:pPr>
              <w:jc w:val="center"/>
            </w:pPr>
            <w:r>
              <w:rPr>
                <w:rFonts w:ascii="Times New Roman" w:hAnsi="Times New Roman"/>
                <w:sz w:val="17"/>
              </w:rPr>
              <w:t>0.112</w:t>
            </w:r>
          </w:p>
        </w:tc>
        <w:tc>
          <w:tcPr>
            <w:tcW w:type="dxa" w:w="960"/>
          </w:tcPr>
          <w:p>
            <w:pPr>
              <w:jc w:val="center"/>
            </w:pPr>
            <w:r>
              <w:rPr>
                <w:rFonts w:ascii="Times New Roman" w:hAnsi="Times New Roman"/>
                <w:sz w:val="17"/>
              </w:rPr>
              <w:t>1.901</w:t>
            </w:r>
          </w:p>
        </w:tc>
        <w:tc>
          <w:tcPr>
            <w:tcW w:type="dxa" w:w="960"/>
          </w:tcPr>
          <w:p>
            <w:pPr>
              <w:jc w:val="center"/>
            </w:pPr>
            <w:r>
              <w:rPr>
                <w:rFonts w:ascii="Times New Roman" w:hAnsi="Times New Roman"/>
                <w:sz w:val="17"/>
              </w:rPr>
              <w:t>-0.247</w:t>
            </w:r>
          </w:p>
        </w:tc>
        <w:tc>
          <w:tcPr>
            <w:tcW w:type="dxa" w:w="960"/>
          </w:tcPr>
          <w:p>
            <w:pPr>
              <w:jc w:val="center"/>
            </w:pPr>
            <w:r>
              <w:rPr>
                <w:rFonts w:ascii="Times New Roman" w:hAnsi="Times New Roman"/>
                <w:sz w:val="17"/>
              </w:rPr>
              <w:t>1.766</w:t>
            </w:r>
          </w:p>
        </w:tc>
      </w:tr>
    </w:tbl>
    <w:p>
      <w:r>
        <w:t>Note: AA, AB, BA and BB are average precision percentages. Columns I, F, J and Total are percentage point contrasts computed from unrounded saved predictions. In each label the first letter identifies the development version and the second identifies the scoring inputs. All cells within a block share test observations and weights, and rounding can prevent displayed entries from summing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