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3. Separating the size restriction on development from its restriction on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Test block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Develop / Evaluate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 / positives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Event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AA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BB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Difference (pp)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2016-2017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Full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1063 / 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24.747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20.176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-4.571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2016-2017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668 / 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24.795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20.231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-4.563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2016-2017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Size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668 / 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32.217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31.917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-0.300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2018-2019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Full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946 / 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0.244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23.312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26.157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+2.846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2018-2019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592 / 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23.316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26.169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+2.852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2018-2019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Size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592 / 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31.976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15.966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-16.009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2020-2021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Full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845 / 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11.861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10.626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-1.235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2020-2021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Full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499 / 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0.690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11.885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10.664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-1.221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2020-2021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Size / Size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499 / 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0.690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9.687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7.013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-2.673</w:t>
            </w:r>
          </w:p>
        </w:tc>
      </w:tr>
    </w:tbl>
    <w:p>
      <w:r>
        <w:t>Note: Common fixed LightGBM is used throughout. Size means the consumer price index adjusted prediction origin asset threshold of 100 million 1980 US dollars. N and positives give unweighted test windows and positive windows, and Event % is the design weighted prevalence. Full development with a size restricted evaluation reuses the full development fitted pipelines, while the two size restricted conditions share the identical evaluation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