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4. Later version exposure by test block and recorded outcome.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Test block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Event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No later bundle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Later unchanged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Later changed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---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2016-2017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208 (21.9%)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488 (49.7%)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316 (28.5%)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2016-2017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32 (62.7%)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 (15.7%)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11 (21.6%)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2018-2019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318 (34.2%)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428 (48.0%)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172 (17.8%)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2018-2019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 (57.1%)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 (35.7%)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 (7.1%)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2020-2021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107 (13.2%)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563 (70.2%)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131 (16.5%)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2020-2021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 (45.5%)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 (47.7%)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 (6.8%)</w:t>
            </w:r>
          </w:p>
        </w:tc>
      </w:tr>
    </w:tbl>
    <w:p>
      <w:r>
        <w:t>Note: Cells report unweighted counts with design weighted percentages within each block and outcome group. Event 1 is the directly linked registry target. Changed concerns any selected raw component above the stated tolerance, and rounding can prevent percentages from totaling 100.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