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5. Fixed LightGBM trained under different disclosure time rules and scored exclusively on original accession inputs.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17"/>
              </w:rPr>
              <w:t>Test block</w:t>
            </w:r>
          </w:p>
        </w:tc>
        <w:tc>
          <w:tcPr>
            <w:tcW w:type="dxa" w:w="1440"/>
          </w:tcPr>
          <w:p>
            <w:pPr>
              <w:jc w:val="center"/>
            </w:pPr>
            <w:r>
              <w:rPr>
                <w:rFonts w:ascii="Times New Roman" w:hAnsi="Times New Roman"/>
                <w:b/>
                <w:sz w:val="17"/>
              </w:rPr>
              <w:t>A fit</w:t>
            </w:r>
          </w:p>
        </w:tc>
        <w:tc>
          <w:tcPr>
            <w:tcW w:type="dxa" w:w="1440"/>
          </w:tcPr>
          <w:p>
            <w:pPr>
              <w:jc w:val="center"/>
            </w:pPr>
            <w:r>
              <w:rPr>
                <w:rFonts w:ascii="Times New Roman" w:hAnsi="Times New Roman"/>
                <w:b/>
                <w:sz w:val="17"/>
              </w:rPr>
              <w:t>As of fit date</w:t>
            </w:r>
          </w:p>
        </w:tc>
        <w:tc>
          <w:tcPr>
            <w:tcW w:type="dxa" w:w="1440"/>
          </w:tcPr>
          <w:p>
            <w:pPr>
              <w:jc w:val="left"/>
            </w:pPr>
            <w:r>
              <w:rPr>
                <w:rFonts w:ascii="Times New Roman" w:hAnsi="Times New Roman"/>
                <w:b/>
                <w:sz w:val="17"/>
              </w:rPr>
              <w:t>Latest later version fit</w:t>
            </w:r>
          </w:p>
        </w:tc>
        <w:tc>
          <w:tcPr>
            <w:tcW w:type="dxa" w:w="1440"/>
          </w:tcPr>
          <w:p>
            <w:pPr>
              <w:jc w:val="left"/>
            </w:pPr>
            <w:r>
              <w:rPr>
                <w:rFonts w:ascii="Times New Roman" w:hAnsi="Times New Roman"/>
                <w:b/>
                <w:sz w:val="17"/>
              </w:rPr>
              <w:t>Late records / development N</w:t>
            </w:r>
          </w:p>
        </w:tc>
        <w:tc>
          <w:tcPr>
            <w:tcW w:type="dxa" w:w="1440"/>
          </w:tcPr>
          <w:p>
            <w:pPr>
              <w:jc w:val="center"/>
            </w:pPr>
            <w:r>
              <w:rPr>
                <w:rFonts w:ascii="Times New Roman" w:hAnsi="Times New Roman"/>
                <w:b/>
                <w:sz w:val="17"/>
              </w:rPr>
              <w:t>Late weight</w:t>
            </w:r>
          </w:p>
        </w:tc>
      </w:tr>
      <w:tr>
        <w:tc>
          <w:tcPr>
            <w:tcW w:type="dxa" w:w="1440"/>
          </w:tcPr>
          <w:p>
            <w:pPr>
              <w:jc w:val="center"/>
            </w:pPr>
            <w:r>
              <w:rPr>
                <w:rFonts w:ascii="Times New Roman" w:hAnsi="Times New Roman"/>
                <w:sz w:val="17"/>
              </w:rPr>
              <w:t>---</w:t>
            </w:r>
          </w:p>
        </w:tc>
        <w:tc>
          <w:tcPr>
            <w:tcW w:type="dxa" w:w="1440"/>
          </w:tcPr>
          <w:p>
            <w:pPr>
              <w:jc w:val="center"/>
            </w:pPr>
            <w:r>
              <w:rPr>
                <w:rFonts w:ascii="Times New Roman" w:hAnsi="Times New Roman"/>
                <w:sz w:val="17"/>
              </w:rPr>
              <w:t>---</w:t>
            </w:r>
          </w:p>
        </w:tc>
        <w:tc>
          <w:tcPr>
            <w:tcW w:type="dxa" w:w="1440"/>
          </w:tcPr>
          <w:p>
            <w:pPr>
              <w:jc w:val="center"/>
            </w:pPr>
            <w:r>
              <w:rPr>
                <w:rFonts w:ascii="Times New Roman" w:hAnsi="Times New Roman"/>
                <w:sz w:val="17"/>
              </w:rPr>
              <w:t>---</w:t>
            </w:r>
          </w:p>
        </w:tc>
        <w:tc>
          <w:tcPr>
            <w:tcW w:type="dxa" w:w="1440"/>
          </w:tcPr>
          <w:p>
            <w:pPr>
              <w:jc w:val="center"/>
            </w:pPr>
            <w:r>
              <w:rPr>
                <w:rFonts w:ascii="Times New Roman" w:hAnsi="Times New Roman"/>
                <w:sz w:val="17"/>
              </w:rPr>
              <w:t>---</w:t>
            </w:r>
          </w:p>
        </w:tc>
        <w:tc>
          <w:tcPr>
            <w:tcW w:type="dxa" w:w="1440"/>
          </w:tcPr>
          <w:p>
            <w:pPr>
              <w:jc w:val="center"/>
            </w:pPr>
            <w:r>
              <w:rPr>
                <w:rFonts w:ascii="Times New Roman" w:hAnsi="Times New Roman"/>
                <w:sz w:val="17"/>
              </w:rPr>
              <w:t>---</w:t>
            </w:r>
          </w:p>
        </w:tc>
        <w:tc>
          <w:tcPr>
            <w:tcW w:type="dxa" w:w="1440"/>
          </w:tcPr>
          <w:p>
            <w:pPr>
              <w:jc w:val="center"/>
            </w:pPr>
            <w:r>
              <w:rPr>
                <w:rFonts w:ascii="Times New Roman" w:hAnsi="Times New Roman"/>
                <w:sz w:val="17"/>
              </w:rPr>
              <w:t>---</w:t>
            </w:r>
          </w:p>
        </w:tc>
      </w:tr>
      <w:tr>
        <w:tc>
          <w:tcPr>
            <w:tcW w:type="dxa" w:w="1440"/>
          </w:tcPr>
          <w:p>
            <w:pPr>
              <w:jc w:val="center"/>
            </w:pPr>
            <w:r>
              <w:rPr>
                <w:rFonts w:ascii="Times New Roman" w:hAnsi="Times New Roman"/>
                <w:sz w:val="17"/>
              </w:rPr>
              <w:t>2016-2017</w:t>
            </w:r>
          </w:p>
        </w:tc>
        <w:tc>
          <w:tcPr>
            <w:tcW w:type="dxa" w:w="1440"/>
          </w:tcPr>
          <w:p>
            <w:pPr>
              <w:jc w:val="center"/>
            </w:pPr>
            <w:r>
              <w:rPr>
                <w:rFonts w:ascii="Times New Roman" w:hAnsi="Times New Roman"/>
                <w:sz w:val="17"/>
              </w:rPr>
              <w:t>24.747</w:t>
            </w:r>
          </w:p>
        </w:tc>
        <w:tc>
          <w:tcPr>
            <w:tcW w:type="dxa" w:w="1440"/>
          </w:tcPr>
          <w:p>
            <w:pPr>
              <w:jc w:val="center"/>
            </w:pPr>
            <w:r>
              <w:rPr>
                <w:rFonts w:ascii="Times New Roman" w:hAnsi="Times New Roman"/>
                <w:sz w:val="17"/>
              </w:rPr>
              <w:t>24.837</w:t>
            </w:r>
          </w:p>
        </w:tc>
        <w:tc>
          <w:tcPr>
            <w:tcW w:type="dxa" w:w="1440"/>
          </w:tcPr>
          <w:p>
            <w:pPr>
              <w:jc w:val="center"/>
            </w:pPr>
            <w:r>
              <w:rPr>
                <w:rFonts w:ascii="Times New Roman" w:hAnsi="Times New Roman"/>
                <w:sz w:val="17"/>
              </w:rPr>
              <w:t>21.229</w:t>
            </w:r>
          </w:p>
        </w:tc>
        <w:tc>
          <w:tcPr>
            <w:tcW w:type="dxa" w:w="1440"/>
          </w:tcPr>
          <w:p>
            <w:pPr>
              <w:jc w:val="center"/>
            </w:pPr>
            <w:r>
              <w:rPr>
                <w:rFonts w:ascii="Times New Roman" w:hAnsi="Times New Roman"/>
                <w:sz w:val="17"/>
              </w:rPr>
              <w:t>6 / 2,024</w:t>
            </w:r>
          </w:p>
        </w:tc>
        <w:tc>
          <w:tcPr>
            <w:tcW w:type="dxa" w:w="1440"/>
          </w:tcPr>
          <w:p>
            <w:pPr>
              <w:jc w:val="center"/>
            </w:pPr>
            <w:r>
              <w:rPr>
                <w:rFonts w:ascii="Times New Roman" w:hAnsi="Times New Roman"/>
                <w:sz w:val="17"/>
              </w:rPr>
              <w:t>0.216%</w:t>
            </w:r>
          </w:p>
        </w:tc>
      </w:tr>
      <w:tr>
        <w:tc>
          <w:tcPr>
            <w:tcW w:type="dxa" w:w="1440"/>
          </w:tcPr>
          <w:p>
            <w:pPr>
              <w:jc w:val="center"/>
            </w:pPr>
            <w:r>
              <w:rPr>
                <w:rFonts w:ascii="Times New Roman" w:hAnsi="Times New Roman"/>
                <w:sz w:val="17"/>
              </w:rPr>
              <w:t>2018-2019</w:t>
            </w:r>
          </w:p>
        </w:tc>
        <w:tc>
          <w:tcPr>
            <w:tcW w:type="dxa" w:w="1440"/>
          </w:tcPr>
          <w:p>
            <w:pPr>
              <w:jc w:val="center"/>
            </w:pPr>
            <w:r>
              <w:rPr>
                <w:rFonts w:ascii="Times New Roman" w:hAnsi="Times New Roman"/>
                <w:sz w:val="17"/>
              </w:rPr>
              <w:t>23.312</w:t>
            </w:r>
          </w:p>
        </w:tc>
        <w:tc>
          <w:tcPr>
            <w:tcW w:type="dxa" w:w="1440"/>
          </w:tcPr>
          <w:p>
            <w:pPr>
              <w:jc w:val="center"/>
            </w:pPr>
            <w:r>
              <w:rPr>
                <w:rFonts w:ascii="Times New Roman" w:hAnsi="Times New Roman"/>
                <w:sz w:val="17"/>
              </w:rPr>
              <w:t>24.012</w:t>
            </w:r>
          </w:p>
        </w:tc>
        <w:tc>
          <w:tcPr>
            <w:tcW w:type="dxa" w:w="1440"/>
          </w:tcPr>
          <w:p>
            <w:pPr>
              <w:jc w:val="center"/>
            </w:pPr>
            <w:r>
              <w:rPr>
                <w:rFonts w:ascii="Times New Roman" w:hAnsi="Times New Roman"/>
                <w:sz w:val="17"/>
              </w:rPr>
              <w:t>25.153</w:t>
            </w:r>
          </w:p>
        </w:tc>
        <w:tc>
          <w:tcPr>
            <w:tcW w:type="dxa" w:w="1440"/>
          </w:tcPr>
          <w:p>
            <w:pPr>
              <w:jc w:val="center"/>
            </w:pPr>
            <w:r>
              <w:rPr>
                <w:rFonts w:ascii="Times New Roman" w:hAnsi="Times New Roman"/>
                <w:sz w:val="17"/>
              </w:rPr>
              <w:t>8 / 3,167</w:t>
            </w:r>
          </w:p>
        </w:tc>
        <w:tc>
          <w:tcPr>
            <w:tcW w:type="dxa" w:w="1440"/>
          </w:tcPr>
          <w:p>
            <w:pPr>
              <w:jc w:val="center"/>
            </w:pPr>
            <w:r>
              <w:rPr>
                <w:rFonts w:ascii="Times New Roman" w:hAnsi="Times New Roman"/>
                <w:sz w:val="17"/>
              </w:rPr>
              <w:t>0.342%</w:t>
            </w:r>
          </w:p>
        </w:tc>
      </w:tr>
      <w:tr>
        <w:tc>
          <w:tcPr>
            <w:tcW w:type="dxa" w:w="1440"/>
          </w:tcPr>
          <w:p>
            <w:pPr>
              <w:jc w:val="center"/>
            </w:pPr>
            <w:r>
              <w:rPr>
                <w:rFonts w:ascii="Times New Roman" w:hAnsi="Times New Roman"/>
                <w:sz w:val="17"/>
              </w:rPr>
              <w:t>2020-2021</w:t>
            </w:r>
          </w:p>
        </w:tc>
        <w:tc>
          <w:tcPr>
            <w:tcW w:type="dxa" w:w="1440"/>
          </w:tcPr>
          <w:p>
            <w:pPr>
              <w:jc w:val="center"/>
            </w:pPr>
            <w:r>
              <w:rPr>
                <w:rFonts w:ascii="Times New Roman" w:hAnsi="Times New Roman"/>
                <w:sz w:val="17"/>
              </w:rPr>
              <w:t>11.861</w:t>
            </w:r>
          </w:p>
        </w:tc>
        <w:tc>
          <w:tcPr>
            <w:tcW w:type="dxa" w:w="1440"/>
          </w:tcPr>
          <w:p>
            <w:pPr>
              <w:jc w:val="center"/>
            </w:pPr>
            <w:r>
              <w:rPr>
                <w:rFonts w:ascii="Times New Roman" w:hAnsi="Times New Roman"/>
                <w:sz w:val="17"/>
              </w:rPr>
              <w:t>10.786</w:t>
            </w:r>
          </w:p>
        </w:tc>
        <w:tc>
          <w:tcPr>
            <w:tcW w:type="dxa" w:w="1440"/>
          </w:tcPr>
          <w:p>
            <w:pPr>
              <w:jc w:val="center"/>
            </w:pPr>
            <w:r>
              <w:rPr>
                <w:rFonts w:ascii="Times New Roman" w:hAnsi="Times New Roman"/>
                <w:sz w:val="17"/>
              </w:rPr>
              <w:t>10.573</w:t>
            </w:r>
          </w:p>
        </w:tc>
        <w:tc>
          <w:tcPr>
            <w:tcW w:type="dxa" w:w="1440"/>
          </w:tcPr>
          <w:p>
            <w:pPr>
              <w:jc w:val="center"/>
            </w:pPr>
            <w:r>
              <w:rPr>
                <w:rFonts w:ascii="Times New Roman" w:hAnsi="Times New Roman"/>
                <w:sz w:val="17"/>
              </w:rPr>
              <w:t>6 / 4,161</w:t>
            </w:r>
          </w:p>
        </w:tc>
        <w:tc>
          <w:tcPr>
            <w:tcW w:type="dxa" w:w="1440"/>
          </w:tcPr>
          <w:p>
            <w:pPr>
              <w:jc w:val="center"/>
            </w:pPr>
            <w:r>
              <w:rPr>
                <w:rFonts w:ascii="Times New Roman" w:hAnsi="Times New Roman"/>
                <w:sz w:val="17"/>
              </w:rPr>
              <w:t>0.190%</w:t>
            </w:r>
          </w:p>
        </w:tc>
      </w:tr>
    </w:tbl>
    <w:p>
      <w:r>
        <w:t>Note: The first three numeric columns report average precision percentages on the same original test inputs. The latest later version column uses the unlimited training source rule but scores the original version rather than the later version. Late counts refer to selected latest sources unavailable strictly before the test block fit date, and their weight share is measured in the mature development sample. These fixed parameter anchors differ from the tuned pipelines in Table 2 and were fitted separately from the version decomposition shown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