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Table 6. Tuned LightGBM under source supported and adjusted scenarios.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7"/>
              </w:rPr>
              <w:t>Test block</w:t>
            </w:r>
          </w:p>
        </w:tc>
        <w:tc>
          <w:tcPr>
            <w:tcW w:type="dxa" w:w="1728"/>
          </w:tcPr>
          <w:p>
            <w:pPr>
              <w:jc w:val="center"/>
            </w:pPr>
            <w:r>
              <w:rPr>
                <w:rFonts w:ascii="Times New Roman" w:hAnsi="Times New Roman"/>
                <w:b/>
                <w:sz w:val="17"/>
              </w:rPr>
              <w:t>Input scenario</w:t>
            </w:r>
          </w:p>
        </w:tc>
        <w:tc>
          <w:tcPr>
            <w:tcW w:type="dxa" w:w="1728"/>
          </w:tcPr>
          <w:p>
            <w:pPr>
              <w:jc w:val="center"/>
            </w:pPr>
            <w:r>
              <w:rPr>
                <w:rFonts w:ascii="Times New Roman" w:hAnsi="Times New Roman"/>
                <w:b/>
                <w:sz w:val="17"/>
              </w:rPr>
              <w:t>AA %</w:t>
            </w:r>
          </w:p>
        </w:tc>
        <w:tc>
          <w:tcPr>
            <w:tcW w:type="dxa" w:w="1728"/>
          </w:tcPr>
          <w:p>
            <w:pPr>
              <w:jc w:val="center"/>
            </w:pPr>
            <w:r>
              <w:rPr>
                <w:rFonts w:ascii="Times New Roman" w:hAnsi="Times New Roman"/>
                <w:b/>
                <w:sz w:val="17"/>
              </w:rPr>
              <w:t>BB %</w:t>
            </w:r>
          </w:p>
        </w:tc>
        <w:tc>
          <w:tcPr>
            <w:tcW w:type="dxa" w:w="1728"/>
          </w:tcPr>
          <w:p>
            <w:pPr>
              <w:jc w:val="center"/>
            </w:pPr>
            <w:r>
              <w:rPr>
                <w:rFonts w:ascii="Times New Roman" w:hAnsi="Times New Roman"/>
                <w:b/>
                <w:sz w:val="17"/>
              </w:rPr>
              <w:t>Difference (pp)</w:t>
            </w:r>
          </w:p>
        </w:tc>
      </w:tr>
      <w:tr>
        <w:tc>
          <w:tcPr>
            <w:tcW w:type="dxa" w:w="1728"/>
          </w:tcPr>
          <w:p>
            <w:pPr>
              <w:jc w:val="center"/>
            </w:pPr>
            <w:r>
              <w:rPr>
                <w:rFonts w:ascii="Times New Roman" w:hAnsi="Times New Roman"/>
                <w:sz w:val="17"/>
              </w:rPr>
              <w:t>---</w:t>
            </w:r>
          </w:p>
        </w:tc>
        <w:tc>
          <w:tcPr>
            <w:tcW w:type="dxa" w:w="1728"/>
          </w:tcPr>
          <w:p>
            <w:pPr>
              <w:jc w:val="center"/>
            </w:pPr>
            <w:r>
              <w:rPr>
                <w:rFonts w:ascii="Times New Roman" w:hAnsi="Times New Roman"/>
                <w:sz w:val="17"/>
              </w:rPr>
              <w:t>---</w:t>
            </w:r>
          </w:p>
        </w:tc>
        <w:tc>
          <w:tcPr>
            <w:tcW w:type="dxa" w:w="1728"/>
          </w:tcPr>
          <w:p>
            <w:pPr>
              <w:jc w:val="center"/>
            </w:pPr>
            <w:r>
              <w:rPr>
                <w:rFonts w:ascii="Times New Roman" w:hAnsi="Times New Roman"/>
                <w:sz w:val="17"/>
              </w:rPr>
              <w:t>---</w:t>
            </w:r>
          </w:p>
        </w:tc>
        <w:tc>
          <w:tcPr>
            <w:tcW w:type="dxa" w:w="1728"/>
          </w:tcPr>
          <w:p>
            <w:pPr>
              <w:jc w:val="center"/>
            </w:pPr>
            <w:r>
              <w:rPr>
                <w:rFonts w:ascii="Times New Roman" w:hAnsi="Times New Roman"/>
                <w:sz w:val="17"/>
              </w:rPr>
              <w:t>---</w:t>
            </w:r>
          </w:p>
        </w:tc>
        <w:tc>
          <w:tcPr>
            <w:tcW w:type="dxa" w:w="1728"/>
          </w:tcPr>
          <w:p>
            <w:pPr>
              <w:jc w:val="center"/>
            </w:pPr>
            <w:r>
              <w:rPr>
                <w:rFonts w:ascii="Times New Roman" w:hAnsi="Times New Roman"/>
                <w:sz w:val="17"/>
              </w:rPr>
              <w:t>---</w:t>
            </w:r>
          </w:p>
        </w:tc>
      </w:tr>
      <w:tr>
        <w:tc>
          <w:tcPr>
            <w:tcW w:type="dxa" w:w="1728"/>
          </w:tcPr>
          <w:p>
            <w:pPr>
              <w:jc w:val="center"/>
            </w:pPr>
            <w:r>
              <w:rPr>
                <w:rFonts w:ascii="Times New Roman" w:hAnsi="Times New Roman"/>
                <w:sz w:val="17"/>
              </w:rPr>
              <w:t>2016-2017</w:t>
            </w:r>
          </w:p>
        </w:tc>
        <w:tc>
          <w:tcPr>
            <w:tcW w:type="dxa" w:w="1728"/>
          </w:tcPr>
          <w:p>
            <w:pPr>
              <w:jc w:val="center"/>
            </w:pPr>
            <w:r>
              <w:rPr>
                <w:rFonts w:ascii="Times New Roman" w:hAnsi="Times New Roman"/>
                <w:sz w:val="17"/>
              </w:rPr>
              <w:t>Unadjusted</w:t>
            </w:r>
          </w:p>
        </w:tc>
        <w:tc>
          <w:tcPr>
            <w:tcW w:type="dxa" w:w="1728"/>
          </w:tcPr>
          <w:p>
            <w:pPr>
              <w:jc w:val="center"/>
            </w:pPr>
            <w:r>
              <w:rPr>
                <w:rFonts w:ascii="Times New Roman" w:hAnsi="Times New Roman"/>
                <w:sz w:val="17"/>
              </w:rPr>
              <w:t>24.747</w:t>
            </w:r>
          </w:p>
        </w:tc>
        <w:tc>
          <w:tcPr>
            <w:tcW w:type="dxa" w:w="1728"/>
          </w:tcPr>
          <w:p>
            <w:pPr>
              <w:jc w:val="center"/>
            </w:pPr>
            <w:r>
              <w:rPr>
                <w:rFonts w:ascii="Times New Roman" w:hAnsi="Times New Roman"/>
                <w:sz w:val="17"/>
              </w:rPr>
              <w:t>27.586</w:t>
            </w:r>
          </w:p>
        </w:tc>
        <w:tc>
          <w:tcPr>
            <w:tcW w:type="dxa" w:w="1728"/>
          </w:tcPr>
          <w:p>
            <w:pPr>
              <w:jc w:val="center"/>
            </w:pPr>
            <w:r>
              <w:rPr>
                <w:rFonts w:ascii="Times New Roman" w:hAnsi="Times New Roman"/>
                <w:sz w:val="17"/>
              </w:rPr>
              <w:t>+2.839</w:t>
            </w:r>
          </w:p>
        </w:tc>
      </w:tr>
      <w:tr>
        <w:tc>
          <w:tcPr>
            <w:tcW w:type="dxa" w:w="1728"/>
          </w:tcPr>
          <w:p>
            <w:pPr>
              <w:jc w:val="center"/>
            </w:pPr>
            <w:r>
              <w:rPr>
                <w:rFonts w:ascii="Times New Roman" w:hAnsi="Times New Roman"/>
                <w:sz w:val="17"/>
              </w:rPr>
              <w:t>2016-2017</w:t>
            </w:r>
          </w:p>
        </w:tc>
        <w:tc>
          <w:tcPr>
            <w:tcW w:type="dxa" w:w="1728"/>
          </w:tcPr>
          <w:p>
            <w:pPr>
              <w:jc w:val="center"/>
            </w:pPr>
            <w:r>
              <w:rPr>
                <w:rFonts w:ascii="Times New Roman" w:hAnsi="Times New Roman"/>
                <w:sz w:val="17"/>
              </w:rPr>
              <w:t>Scale supported</w:t>
            </w:r>
          </w:p>
        </w:tc>
        <w:tc>
          <w:tcPr>
            <w:tcW w:type="dxa" w:w="1728"/>
          </w:tcPr>
          <w:p>
            <w:pPr>
              <w:jc w:val="center"/>
            </w:pPr>
            <w:r>
              <w:rPr>
                <w:rFonts w:ascii="Times New Roman" w:hAnsi="Times New Roman"/>
                <w:sz w:val="17"/>
              </w:rPr>
              <w:t>24.747</w:t>
            </w:r>
          </w:p>
        </w:tc>
        <w:tc>
          <w:tcPr>
            <w:tcW w:type="dxa" w:w="1728"/>
          </w:tcPr>
          <w:p>
            <w:pPr>
              <w:jc w:val="center"/>
            </w:pPr>
            <w:r>
              <w:rPr>
                <w:rFonts w:ascii="Times New Roman" w:hAnsi="Times New Roman"/>
                <w:sz w:val="17"/>
              </w:rPr>
              <w:t>27.586</w:t>
            </w:r>
          </w:p>
        </w:tc>
        <w:tc>
          <w:tcPr>
            <w:tcW w:type="dxa" w:w="1728"/>
          </w:tcPr>
          <w:p>
            <w:pPr>
              <w:jc w:val="center"/>
            </w:pPr>
            <w:r>
              <w:rPr>
                <w:rFonts w:ascii="Times New Roman" w:hAnsi="Times New Roman"/>
                <w:sz w:val="17"/>
              </w:rPr>
              <w:t>+2.839</w:t>
            </w:r>
          </w:p>
        </w:tc>
      </w:tr>
      <w:tr>
        <w:tc>
          <w:tcPr>
            <w:tcW w:type="dxa" w:w="1728"/>
          </w:tcPr>
          <w:p>
            <w:pPr>
              <w:jc w:val="center"/>
            </w:pPr>
            <w:r>
              <w:rPr>
                <w:rFonts w:ascii="Times New Roman" w:hAnsi="Times New Roman"/>
                <w:sz w:val="17"/>
              </w:rPr>
              <w:t>2016-2017</w:t>
            </w:r>
          </w:p>
        </w:tc>
        <w:tc>
          <w:tcPr>
            <w:tcW w:type="dxa" w:w="1728"/>
          </w:tcPr>
          <w:p>
            <w:pPr>
              <w:jc w:val="left"/>
            </w:pPr>
            <w:r>
              <w:rPr>
                <w:rFonts w:ascii="Times New Roman" w:hAnsi="Times New Roman"/>
                <w:sz w:val="17"/>
              </w:rPr>
              <w:t>Scale plus disputed signs</w:t>
            </w:r>
          </w:p>
        </w:tc>
        <w:tc>
          <w:tcPr>
            <w:tcW w:type="dxa" w:w="1728"/>
          </w:tcPr>
          <w:p>
            <w:pPr>
              <w:jc w:val="center"/>
            </w:pPr>
            <w:r>
              <w:rPr>
                <w:rFonts w:ascii="Times New Roman" w:hAnsi="Times New Roman"/>
                <w:sz w:val="17"/>
              </w:rPr>
              <w:t>25.860</w:t>
            </w:r>
          </w:p>
        </w:tc>
        <w:tc>
          <w:tcPr>
            <w:tcW w:type="dxa" w:w="1728"/>
          </w:tcPr>
          <w:p>
            <w:pPr>
              <w:jc w:val="center"/>
            </w:pPr>
            <w:r>
              <w:rPr>
                <w:rFonts w:ascii="Times New Roman" w:hAnsi="Times New Roman"/>
                <w:sz w:val="17"/>
              </w:rPr>
              <w:t>28.436</w:t>
            </w:r>
          </w:p>
        </w:tc>
        <w:tc>
          <w:tcPr>
            <w:tcW w:type="dxa" w:w="1728"/>
          </w:tcPr>
          <w:p>
            <w:pPr>
              <w:jc w:val="center"/>
            </w:pPr>
            <w:r>
              <w:rPr>
                <w:rFonts w:ascii="Times New Roman" w:hAnsi="Times New Roman"/>
                <w:sz w:val="17"/>
              </w:rPr>
              <w:t>+2.576</w:t>
            </w:r>
          </w:p>
        </w:tc>
      </w:tr>
      <w:tr>
        <w:tc>
          <w:tcPr>
            <w:tcW w:type="dxa" w:w="1728"/>
          </w:tcPr>
          <w:p>
            <w:pPr>
              <w:jc w:val="center"/>
            </w:pPr>
            <w:r>
              <w:rPr>
                <w:rFonts w:ascii="Times New Roman" w:hAnsi="Times New Roman"/>
                <w:sz w:val="17"/>
              </w:rPr>
              <w:t>2018-2019</w:t>
            </w:r>
          </w:p>
        </w:tc>
        <w:tc>
          <w:tcPr>
            <w:tcW w:type="dxa" w:w="1728"/>
          </w:tcPr>
          <w:p>
            <w:pPr>
              <w:jc w:val="center"/>
            </w:pPr>
            <w:r>
              <w:rPr>
                <w:rFonts w:ascii="Times New Roman" w:hAnsi="Times New Roman"/>
                <w:sz w:val="17"/>
              </w:rPr>
              <w:t>Unadjusted</w:t>
            </w:r>
          </w:p>
        </w:tc>
        <w:tc>
          <w:tcPr>
            <w:tcW w:type="dxa" w:w="1728"/>
          </w:tcPr>
          <w:p>
            <w:pPr>
              <w:jc w:val="center"/>
            </w:pPr>
            <w:r>
              <w:rPr>
                <w:rFonts w:ascii="Times New Roman" w:hAnsi="Times New Roman"/>
                <w:sz w:val="17"/>
              </w:rPr>
              <w:t>15.564</w:t>
            </w:r>
          </w:p>
        </w:tc>
        <w:tc>
          <w:tcPr>
            <w:tcW w:type="dxa" w:w="1728"/>
          </w:tcPr>
          <w:p>
            <w:pPr>
              <w:jc w:val="center"/>
            </w:pPr>
            <w:r>
              <w:rPr>
                <w:rFonts w:ascii="Times New Roman" w:hAnsi="Times New Roman"/>
                <w:sz w:val="17"/>
              </w:rPr>
              <w:t>18.332</w:t>
            </w:r>
          </w:p>
        </w:tc>
        <w:tc>
          <w:tcPr>
            <w:tcW w:type="dxa" w:w="1728"/>
          </w:tcPr>
          <w:p>
            <w:pPr>
              <w:jc w:val="center"/>
            </w:pPr>
            <w:r>
              <w:rPr>
                <w:rFonts w:ascii="Times New Roman" w:hAnsi="Times New Roman"/>
                <w:sz w:val="17"/>
              </w:rPr>
              <w:t>+2.768</w:t>
            </w:r>
          </w:p>
        </w:tc>
      </w:tr>
      <w:tr>
        <w:tc>
          <w:tcPr>
            <w:tcW w:type="dxa" w:w="1728"/>
          </w:tcPr>
          <w:p>
            <w:pPr>
              <w:jc w:val="center"/>
            </w:pPr>
            <w:r>
              <w:rPr>
                <w:rFonts w:ascii="Times New Roman" w:hAnsi="Times New Roman"/>
                <w:sz w:val="17"/>
              </w:rPr>
              <w:t>2018-2019</w:t>
            </w:r>
          </w:p>
        </w:tc>
        <w:tc>
          <w:tcPr>
            <w:tcW w:type="dxa" w:w="1728"/>
          </w:tcPr>
          <w:p>
            <w:pPr>
              <w:jc w:val="center"/>
            </w:pPr>
            <w:r>
              <w:rPr>
                <w:rFonts w:ascii="Times New Roman" w:hAnsi="Times New Roman"/>
                <w:sz w:val="17"/>
              </w:rPr>
              <w:t>Scale supported</w:t>
            </w:r>
          </w:p>
        </w:tc>
        <w:tc>
          <w:tcPr>
            <w:tcW w:type="dxa" w:w="1728"/>
          </w:tcPr>
          <w:p>
            <w:pPr>
              <w:jc w:val="center"/>
            </w:pPr>
            <w:r>
              <w:rPr>
                <w:rFonts w:ascii="Times New Roman" w:hAnsi="Times New Roman"/>
                <w:sz w:val="17"/>
              </w:rPr>
              <w:t>15.564</w:t>
            </w:r>
          </w:p>
        </w:tc>
        <w:tc>
          <w:tcPr>
            <w:tcW w:type="dxa" w:w="1728"/>
          </w:tcPr>
          <w:p>
            <w:pPr>
              <w:jc w:val="center"/>
            </w:pPr>
            <w:r>
              <w:rPr>
                <w:rFonts w:ascii="Times New Roman" w:hAnsi="Times New Roman"/>
                <w:sz w:val="17"/>
              </w:rPr>
              <w:t>18.332</w:t>
            </w:r>
          </w:p>
        </w:tc>
        <w:tc>
          <w:tcPr>
            <w:tcW w:type="dxa" w:w="1728"/>
          </w:tcPr>
          <w:p>
            <w:pPr>
              <w:jc w:val="center"/>
            </w:pPr>
            <w:r>
              <w:rPr>
                <w:rFonts w:ascii="Times New Roman" w:hAnsi="Times New Roman"/>
                <w:sz w:val="17"/>
              </w:rPr>
              <w:t>+2.768</w:t>
            </w:r>
          </w:p>
        </w:tc>
      </w:tr>
      <w:tr>
        <w:tc>
          <w:tcPr>
            <w:tcW w:type="dxa" w:w="1728"/>
          </w:tcPr>
          <w:p>
            <w:pPr>
              <w:jc w:val="center"/>
            </w:pPr>
            <w:r>
              <w:rPr>
                <w:rFonts w:ascii="Times New Roman" w:hAnsi="Times New Roman"/>
                <w:sz w:val="17"/>
              </w:rPr>
              <w:t>2018-2019</w:t>
            </w:r>
          </w:p>
        </w:tc>
        <w:tc>
          <w:tcPr>
            <w:tcW w:type="dxa" w:w="1728"/>
          </w:tcPr>
          <w:p>
            <w:pPr>
              <w:jc w:val="left"/>
            </w:pPr>
            <w:r>
              <w:rPr>
                <w:rFonts w:ascii="Times New Roman" w:hAnsi="Times New Roman"/>
                <w:sz w:val="17"/>
              </w:rPr>
              <w:t>Scale plus disputed signs</w:t>
            </w:r>
          </w:p>
        </w:tc>
        <w:tc>
          <w:tcPr>
            <w:tcW w:type="dxa" w:w="1728"/>
          </w:tcPr>
          <w:p>
            <w:pPr>
              <w:jc w:val="center"/>
            </w:pPr>
            <w:r>
              <w:rPr>
                <w:rFonts w:ascii="Times New Roman" w:hAnsi="Times New Roman"/>
                <w:sz w:val="17"/>
              </w:rPr>
              <w:t>16.522</w:t>
            </w:r>
          </w:p>
        </w:tc>
        <w:tc>
          <w:tcPr>
            <w:tcW w:type="dxa" w:w="1728"/>
          </w:tcPr>
          <w:p>
            <w:pPr>
              <w:jc w:val="center"/>
            </w:pPr>
            <w:r>
              <w:rPr>
                <w:rFonts w:ascii="Times New Roman" w:hAnsi="Times New Roman"/>
                <w:sz w:val="17"/>
              </w:rPr>
              <w:t>18.995</w:t>
            </w:r>
          </w:p>
        </w:tc>
        <w:tc>
          <w:tcPr>
            <w:tcW w:type="dxa" w:w="1728"/>
          </w:tcPr>
          <w:p>
            <w:pPr>
              <w:jc w:val="center"/>
            </w:pPr>
            <w:r>
              <w:rPr>
                <w:rFonts w:ascii="Times New Roman" w:hAnsi="Times New Roman"/>
                <w:sz w:val="17"/>
              </w:rPr>
              <w:t>+2.473</w:t>
            </w:r>
          </w:p>
        </w:tc>
      </w:tr>
      <w:tr>
        <w:tc>
          <w:tcPr>
            <w:tcW w:type="dxa" w:w="1728"/>
          </w:tcPr>
          <w:p>
            <w:pPr>
              <w:jc w:val="center"/>
            </w:pPr>
            <w:r>
              <w:rPr>
                <w:rFonts w:ascii="Times New Roman" w:hAnsi="Times New Roman"/>
                <w:sz w:val="17"/>
              </w:rPr>
              <w:t>2020-2021</w:t>
            </w:r>
          </w:p>
        </w:tc>
        <w:tc>
          <w:tcPr>
            <w:tcW w:type="dxa" w:w="1728"/>
          </w:tcPr>
          <w:p>
            <w:pPr>
              <w:jc w:val="center"/>
            </w:pPr>
            <w:r>
              <w:rPr>
                <w:rFonts w:ascii="Times New Roman" w:hAnsi="Times New Roman"/>
                <w:sz w:val="17"/>
              </w:rPr>
              <w:t>Unadjusted</w:t>
            </w:r>
          </w:p>
        </w:tc>
        <w:tc>
          <w:tcPr>
            <w:tcW w:type="dxa" w:w="1728"/>
          </w:tcPr>
          <w:p>
            <w:pPr>
              <w:jc w:val="center"/>
            </w:pPr>
            <w:r>
              <w:rPr>
                <w:rFonts w:ascii="Times New Roman" w:hAnsi="Times New Roman"/>
                <w:sz w:val="17"/>
              </w:rPr>
              <w:t>7.390</w:t>
            </w:r>
          </w:p>
        </w:tc>
        <w:tc>
          <w:tcPr>
            <w:tcW w:type="dxa" w:w="1728"/>
          </w:tcPr>
          <w:p>
            <w:pPr>
              <w:jc w:val="center"/>
            </w:pPr>
            <w:r>
              <w:rPr>
                <w:rFonts w:ascii="Times New Roman" w:hAnsi="Times New Roman"/>
                <w:sz w:val="17"/>
              </w:rPr>
              <w:t>9.156</w:t>
            </w:r>
          </w:p>
        </w:tc>
        <w:tc>
          <w:tcPr>
            <w:tcW w:type="dxa" w:w="1728"/>
          </w:tcPr>
          <w:p>
            <w:pPr>
              <w:jc w:val="center"/>
            </w:pPr>
            <w:r>
              <w:rPr>
                <w:rFonts w:ascii="Times New Roman" w:hAnsi="Times New Roman"/>
                <w:sz w:val="17"/>
              </w:rPr>
              <w:t>+1.766</w:t>
            </w:r>
          </w:p>
        </w:tc>
      </w:tr>
      <w:tr>
        <w:tc>
          <w:tcPr>
            <w:tcW w:type="dxa" w:w="1728"/>
          </w:tcPr>
          <w:p>
            <w:pPr>
              <w:jc w:val="center"/>
            </w:pPr>
            <w:r>
              <w:rPr>
                <w:rFonts w:ascii="Times New Roman" w:hAnsi="Times New Roman"/>
                <w:sz w:val="17"/>
              </w:rPr>
              <w:t>2020-2021</w:t>
            </w:r>
          </w:p>
        </w:tc>
        <w:tc>
          <w:tcPr>
            <w:tcW w:type="dxa" w:w="1728"/>
          </w:tcPr>
          <w:p>
            <w:pPr>
              <w:jc w:val="center"/>
            </w:pPr>
            <w:r>
              <w:rPr>
                <w:rFonts w:ascii="Times New Roman" w:hAnsi="Times New Roman"/>
                <w:sz w:val="17"/>
              </w:rPr>
              <w:t>Scale supported</w:t>
            </w:r>
          </w:p>
        </w:tc>
        <w:tc>
          <w:tcPr>
            <w:tcW w:type="dxa" w:w="1728"/>
          </w:tcPr>
          <w:p>
            <w:pPr>
              <w:jc w:val="center"/>
            </w:pPr>
            <w:r>
              <w:rPr>
                <w:rFonts w:ascii="Times New Roman" w:hAnsi="Times New Roman"/>
                <w:sz w:val="17"/>
              </w:rPr>
              <w:t>7.390</w:t>
            </w:r>
          </w:p>
        </w:tc>
        <w:tc>
          <w:tcPr>
            <w:tcW w:type="dxa" w:w="1728"/>
          </w:tcPr>
          <w:p>
            <w:pPr>
              <w:jc w:val="center"/>
            </w:pPr>
            <w:r>
              <w:rPr>
                <w:rFonts w:ascii="Times New Roman" w:hAnsi="Times New Roman"/>
                <w:sz w:val="17"/>
              </w:rPr>
              <w:t>9.156</w:t>
            </w:r>
          </w:p>
        </w:tc>
        <w:tc>
          <w:tcPr>
            <w:tcW w:type="dxa" w:w="1728"/>
          </w:tcPr>
          <w:p>
            <w:pPr>
              <w:jc w:val="center"/>
            </w:pPr>
            <w:r>
              <w:rPr>
                <w:rFonts w:ascii="Times New Roman" w:hAnsi="Times New Roman"/>
                <w:sz w:val="17"/>
              </w:rPr>
              <w:t>+1.766</w:t>
            </w:r>
          </w:p>
        </w:tc>
      </w:tr>
      <w:tr>
        <w:tc>
          <w:tcPr>
            <w:tcW w:type="dxa" w:w="1728"/>
          </w:tcPr>
          <w:p>
            <w:pPr>
              <w:jc w:val="center"/>
            </w:pPr>
            <w:r>
              <w:rPr>
                <w:rFonts w:ascii="Times New Roman" w:hAnsi="Times New Roman"/>
                <w:sz w:val="17"/>
              </w:rPr>
              <w:t>2020-2021</w:t>
            </w:r>
          </w:p>
        </w:tc>
        <w:tc>
          <w:tcPr>
            <w:tcW w:type="dxa" w:w="1728"/>
          </w:tcPr>
          <w:p>
            <w:pPr>
              <w:jc w:val="left"/>
            </w:pPr>
            <w:r>
              <w:rPr>
                <w:rFonts w:ascii="Times New Roman" w:hAnsi="Times New Roman"/>
                <w:sz w:val="17"/>
              </w:rPr>
              <w:t>Scale plus disputed signs</w:t>
            </w:r>
          </w:p>
        </w:tc>
        <w:tc>
          <w:tcPr>
            <w:tcW w:type="dxa" w:w="1728"/>
          </w:tcPr>
          <w:p>
            <w:pPr>
              <w:jc w:val="center"/>
            </w:pPr>
            <w:r>
              <w:rPr>
                <w:rFonts w:ascii="Times New Roman" w:hAnsi="Times New Roman"/>
                <w:sz w:val="17"/>
              </w:rPr>
              <w:t>6.144</w:t>
            </w:r>
          </w:p>
        </w:tc>
        <w:tc>
          <w:tcPr>
            <w:tcW w:type="dxa" w:w="1728"/>
          </w:tcPr>
          <w:p>
            <w:pPr>
              <w:jc w:val="center"/>
            </w:pPr>
            <w:r>
              <w:rPr>
                <w:rFonts w:ascii="Times New Roman" w:hAnsi="Times New Roman"/>
                <w:sz w:val="17"/>
              </w:rPr>
              <w:t>9.203</w:t>
            </w:r>
          </w:p>
        </w:tc>
        <w:tc>
          <w:tcPr>
            <w:tcW w:type="dxa" w:w="1728"/>
          </w:tcPr>
          <w:p>
            <w:pPr>
              <w:jc w:val="center"/>
            </w:pPr>
            <w:r>
              <w:rPr>
                <w:rFonts w:ascii="Times New Roman" w:hAnsi="Times New Roman"/>
                <w:sz w:val="17"/>
              </w:rPr>
              <w:t>+3.059</w:t>
            </w:r>
          </w:p>
        </w:tc>
      </w:tr>
    </w:tbl>
    <w:p>
      <w:r>
        <w:t>Note: Scale supported applies 22 display supported scale keys and changes two feature cells. Scale plus disputed signs additionally imposes four unresolved sign proposals and changes six feature cells in total. It is retained as a sensitivity scenario rather than a certified correction set, and neither label implies authenticated original issuer contexts.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