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material</w:t>
      </w:r>
    </w:p>
    <w:p>
      <w:r/>
      <w:r>
        <w:rPr>
          <w:b w:val="0"/>
          <w:i/>
        </w:rPr>
        <w:t>Auditing evidence construction in legal AI evaluation</w:t>
      </w:r>
      <w:r/>
    </w:p>
    <w:p>
      <w:pPr>
        <w:pStyle w:val="Heading1"/>
      </w:pPr>
      <w:r>
        <w:t>S1 Materials, targets and reproducibility</w:t>
      </w:r>
    </w:p>
    <w:p>
      <w:r>
        <w:t xml:space="preserve">This supplement accompanies </w:t>
      </w:r>
      <w:r>
        <w:rPr>
          <w:b w:val="0"/>
          <w:i/>
        </w:rPr>
        <w:t>Auditing evidence construction in legal AI evaluation</w:t>
      </w:r>
      <w:r>
        <w:t>. It documents the source audit, inventory reading, qualified functional demonstration and complete historical diagnostics. The article's principal contribution is an inspectable relationship between a public source, the statements admitted to a model input and the condition represented by a reference state. The accompanying records permit an alternative admission or interpretation to be examined without changing the retained source.</w:t>
      </w:r>
    </w:p>
    <w:p>
      <w:pPr>
        <w:keepNext/>
      </w:pPr>
      <w:r>
        <w:rPr>
          <w:b/>
        </w:rPr>
        <w:t>Table S1 Resource map and target boundaries</w:t>
      </w:r>
    </w:p>
    <w:tbl>
      <w:tblPr>
        <w:tblW w:type="auto" w:w="0"/>
        <w:jc w:val="center"/>
        <w:tblLayout w:type="fixed"/>
        <w:tblLook w:firstColumn="1" w:firstRow="1" w:lastColumn="0" w:lastRow="0" w:noHBand="0" w:noVBand="1" w:val="04A0"/>
        <w:tblBorders>
          <w:top w:val="single" w:sz="7" w:color="404040"/>
          <w:bottom w:val="single" w:sz="7" w:color="404040"/>
          <w:left w:val="nil" w:sz="0" w:color="404040"/>
          <w:right w:val="nil" w:sz="0" w:color="404040"/>
          <w:insideH w:val="nil" w:sz="0" w:color="404040"/>
          <w:insideV w:val="nil" w:sz="0" w:color="404040"/>
        </w:tblBorders>
        <w:tblLayout w:type="fixed"/>
      </w:tblPr>
      <w:tblGrid>
        <w:gridCol w:w="1598"/>
        <w:gridCol w:w="3816"/>
        <w:gridCol w:w="4306"/>
      </w:tblGrid>
      <w:tr>
        <w:trPr>
          <w:cantSplit/>
          <w:tblHeader/>
        </w:trPr>
        <w:tc>
          <w:tcPr>
            <w:tcW w:type="dxa" w:w="1598"/>
            <w:vAlign w:val="center"/>
            <w:tcBorders>
              <w:bottom w:val="single" w:sz="5" w:color="404040"/>
            </w:tcBorders>
          </w:tcPr>
          <w:p>
            <w:pPr>
              <w:keepNext/>
              <w:spacing w:after="80" w:before="80" w:line="252" w:lineRule="auto"/>
            </w:pPr>
            <w:r>
              <w:rPr>
                <w:rFonts w:ascii="Arial" w:hAnsi="Arial"/>
                <w:b/>
                <w:sz w:val="19"/>
              </w:rPr>
              <w:t>Component</w:t>
            </w:r>
          </w:p>
        </w:tc>
        <w:tc>
          <w:tcPr>
            <w:tcW w:type="dxa" w:w="3816"/>
            <w:vAlign w:val="center"/>
            <w:tcBorders>
              <w:bottom w:val="single" w:sz="5" w:color="404040"/>
            </w:tcBorders>
          </w:tcPr>
          <w:p>
            <w:pPr>
              <w:keepNext/>
              <w:spacing w:after="80" w:before="80" w:line="252" w:lineRule="auto"/>
            </w:pPr>
            <w:r>
              <w:rPr>
                <w:rFonts w:ascii="Arial" w:hAnsi="Arial"/>
                <w:b/>
                <w:sz w:val="19"/>
              </w:rPr>
              <w:t>Material supplied</w:t>
            </w:r>
          </w:p>
        </w:tc>
        <w:tc>
          <w:tcPr>
            <w:tcW w:type="dxa" w:w="4306"/>
            <w:vAlign w:val="center"/>
            <w:tcBorders>
              <w:bottom w:val="single" w:sz="5" w:color="404040"/>
            </w:tcBorders>
          </w:tcPr>
          <w:p>
            <w:pPr>
              <w:keepNext/>
              <w:spacing w:after="80" w:before="80" w:line="252" w:lineRule="auto"/>
            </w:pPr>
            <w:r>
              <w:rPr>
                <w:rFonts w:ascii="Arial" w:hAnsi="Arial"/>
                <w:b/>
                <w:sz w:val="19"/>
              </w:rPr>
              <w:t>Target or permitted interpretation</w:t>
            </w:r>
          </w:p>
        </w:tc>
      </w:tr>
      <w:tr>
        <w:trPr>
          <w:cantSplit/>
        </w:trPr>
        <w:tc>
          <w:tcPr>
            <w:tcW w:type="dxa" w:w="1598"/>
            <w:vAlign w:val="center"/>
          </w:tcPr>
          <w:p>
            <w:pPr>
              <w:spacing w:after="80" w:before="80" w:line="252" w:lineRule="auto"/>
            </w:pPr>
            <w:r>
              <w:rPr>
                <w:rFonts w:ascii="Arial" w:hAnsi="Arial"/>
                <w:sz w:val="19"/>
              </w:rPr>
              <w:t>Source audit, Section S2</w:t>
            </w:r>
          </w:p>
        </w:tc>
        <w:tc>
          <w:tcPr>
            <w:tcW w:type="dxa" w:w="3816"/>
            <w:vAlign w:val="center"/>
          </w:tcPr>
          <w:p>
            <w:pPr>
              <w:spacing w:after="80" w:before="80" w:line="252" w:lineRule="auto"/>
            </w:pPr>
            <w:r>
              <w:rPr>
                <w:rFonts w:ascii="Arial" w:hAnsi="Arial"/>
                <w:sz w:val="19"/>
              </w:rPr>
              <w:t>208 condition records, 73 pair records, 67 source manifests, exact locations and restoration records</w:t>
            </w:r>
          </w:p>
        </w:tc>
        <w:tc>
          <w:tcPr>
            <w:tcW w:type="dxa" w:w="4306"/>
            <w:vAlign w:val="center"/>
          </w:tcPr>
          <w:p>
            <w:pPr>
              <w:spacing w:after="80" w:before="80" w:line="252" w:lineRule="auto"/>
            </w:pPr>
            <w:r>
              <w:rPr>
                <w:rFonts w:ascii="Arial" w:hAnsi="Arial"/>
                <w:sz w:val="19"/>
              </w:rPr>
              <w:t>Evidence in a versioned public text under a stated policy; no independent expert reference</w:t>
            </w:r>
          </w:p>
        </w:tc>
      </w:tr>
      <w:tr>
        <w:trPr>
          <w:cantSplit/>
        </w:trPr>
        <w:tc>
          <w:tcPr>
            <w:tcW w:type="dxa" w:w="1598"/>
            <w:vAlign w:val="center"/>
          </w:tcPr>
          <w:p>
            <w:pPr>
              <w:spacing w:after="80" w:before="80" w:line="252" w:lineRule="auto"/>
            </w:pPr>
            <w:r>
              <w:rPr>
                <w:rFonts w:ascii="Arial" w:hAnsi="Arial"/>
                <w:sz w:val="19"/>
              </w:rPr>
              <w:t>Inventory, Section S3</w:t>
            </w:r>
          </w:p>
        </w:tc>
        <w:tc>
          <w:tcPr>
            <w:tcW w:type="dxa" w:w="3816"/>
            <w:vAlign w:val="center"/>
          </w:tcPr>
          <w:p>
            <w:pPr>
              <w:spacing w:after="80" w:before="80" w:line="252" w:lineRule="auto"/>
            </w:pPr>
            <w:r>
              <w:rPr>
                <w:rFonts w:ascii="Arial" w:hAnsi="Arial"/>
                <w:sz w:val="19"/>
              </w:rPr>
              <w:t>397 row readings, 1,096 coarse source-anchored groups and case links</w:t>
            </w:r>
          </w:p>
        </w:tc>
        <w:tc>
          <w:tcPr>
            <w:tcW w:type="dxa" w:w="4306"/>
            <w:vAlign w:val="center"/>
          </w:tcPr>
          <w:p>
            <w:pPr>
              <w:spacing w:after="80" w:before="80" w:line="252" w:lineRule="auto"/>
            </w:pPr>
            <w:r>
              <w:rPr>
                <w:rFonts w:ascii="Arial" w:hAnsi="Arial"/>
                <w:sz w:val="19"/>
              </w:rPr>
              <w:t>Structure in the dated index and a conservative textual intersection</w:t>
            </w:r>
          </w:p>
        </w:tc>
      </w:tr>
      <w:tr>
        <w:trPr>
          <w:cantSplit/>
        </w:trPr>
        <w:tc>
          <w:tcPr>
            <w:tcW w:type="dxa" w:w="1598"/>
            <w:vAlign w:val="center"/>
          </w:tcPr>
          <w:p>
            <w:pPr>
              <w:spacing w:after="80" w:before="80" w:line="252" w:lineRule="auto"/>
            </w:pPr>
            <w:r>
              <w:rPr>
                <w:rFonts w:ascii="Arial" w:hAnsi="Arial"/>
                <w:sz w:val="19"/>
              </w:rPr>
              <w:t>Qualified demonstration, Section S4</w:t>
            </w:r>
          </w:p>
        </w:tc>
        <w:tc>
          <w:tcPr>
            <w:tcW w:type="dxa" w:w="3816"/>
            <w:vAlign w:val="center"/>
          </w:tcPr>
          <w:p>
            <w:pPr>
              <w:spacing w:after="80" w:before="80" w:line="252" w:lineRule="auto"/>
            </w:pPr>
            <w:r>
              <w:rPr>
                <w:rFonts w:ascii="Arial" w:hAnsi="Arial"/>
                <w:sz w:val="19"/>
              </w:rPr>
              <w:t>Development and qualification cases, frozen inputs, prompts, raw responses, reference correction and analyses</w:t>
            </w:r>
          </w:p>
        </w:tc>
        <w:tc>
          <w:tcPr>
            <w:tcW w:type="dxa" w:w="4306"/>
            <w:vAlign w:val="center"/>
          </w:tcPr>
          <w:p>
            <w:pPr>
              <w:spacing w:after="80" w:before="80" w:line="252" w:lineRule="auto"/>
            </w:pPr>
            <w:r>
              <w:rPr>
                <w:rFonts w:ascii="Arial" w:hAnsi="Arial"/>
                <w:sz w:val="19"/>
              </w:rPr>
              <w:t>Controlled evidence tracking with a supplied rule representation</w:t>
            </w:r>
          </w:p>
        </w:tc>
      </w:tr>
      <w:tr>
        <w:trPr>
          <w:cantSplit/>
        </w:trPr>
        <w:tc>
          <w:tcPr>
            <w:tcW w:type="dxa" w:w="1598"/>
            <w:vAlign w:val="center"/>
          </w:tcPr>
          <w:p>
            <w:pPr>
              <w:spacing w:after="80" w:before="80" w:line="252" w:lineRule="auto"/>
            </w:pPr>
            <w:r>
              <w:rPr>
                <w:rFonts w:ascii="Arial" w:hAnsi="Arial"/>
                <w:sz w:val="19"/>
              </w:rPr>
              <w:t>Historical context, Section S5</w:t>
            </w:r>
          </w:p>
        </w:tc>
        <w:tc>
          <w:tcPr>
            <w:tcW w:type="dxa" w:w="3816"/>
            <w:vAlign w:val="center"/>
          </w:tcPr>
          <w:p>
            <w:pPr>
              <w:spacing w:after="80" w:before="80" w:line="252" w:lineRule="auto"/>
            </w:pPr>
            <w:r>
              <w:rPr>
                <w:rFonts w:ascii="Arial" w:hAnsi="Arial"/>
                <w:sz w:val="19"/>
              </w:rPr>
              <w:t>Administrative agreement, failed interfaces, numeric interventions, guard behavior, runtime and cost assumptions</w:t>
            </w:r>
          </w:p>
        </w:tc>
        <w:tc>
          <w:tcPr>
            <w:tcW w:type="dxa" w:w="4306"/>
            <w:vAlign w:val="center"/>
          </w:tcPr>
          <w:p>
            <w:pPr>
              <w:spacing w:after="80" w:before="80" w:line="252" w:lineRule="auto"/>
            </w:pPr>
            <w:r>
              <w:rPr>
                <w:rFonts w:ascii="Arial" w:hAnsi="Arial"/>
                <w:sz w:val="19"/>
              </w:rPr>
              <w:t>Preserved development and task-specific diagnostics; separate from the new formal comparison</w:t>
            </w:r>
          </w:p>
        </w:tc>
      </w:tr>
      <w:tr>
        <w:trPr>
          <w:cantSplit/>
        </w:trPr>
        <w:tc>
          <w:tcPr>
            <w:tcW w:type="dxa" w:w="1598"/>
            <w:vAlign w:val="center"/>
          </w:tcPr>
          <w:p>
            <w:pPr>
              <w:spacing w:after="80" w:before="80" w:line="252" w:lineRule="auto"/>
            </w:pPr>
            <w:r>
              <w:rPr>
                <w:rFonts w:ascii="Arial" w:hAnsi="Arial"/>
                <w:sz w:val="19"/>
              </w:rPr>
              <w:t>Reproducibility package</w:t>
            </w:r>
          </w:p>
        </w:tc>
        <w:tc>
          <w:tcPr>
            <w:tcW w:type="dxa" w:w="3816"/>
            <w:vAlign w:val="center"/>
          </w:tcPr>
          <w:p>
            <w:pPr>
              <w:spacing w:after="80" w:before="80" w:line="252" w:lineRule="auto"/>
            </w:pPr>
            <w:r>
              <w:rPr>
                <w:rFonts w:ascii="Arial" w:hAnsi="Arial"/>
                <w:sz w:val="19"/>
              </w:rPr>
              <w:t>Versioned scripts, manifests, official-source snapshots and a score verification program</w:t>
            </w:r>
          </w:p>
        </w:tc>
        <w:tc>
          <w:tcPr>
            <w:tcW w:type="dxa" w:w="4306"/>
            <w:vAlign w:val="center"/>
          </w:tcPr>
          <w:p>
            <w:pPr>
              <w:spacing w:after="80" w:before="80" w:line="252" w:lineRule="auto"/>
            </w:pPr>
            <w:r>
              <w:rPr>
                <w:rFonts w:ascii="Arial" w:hAnsi="Arial"/>
                <w:sz w:val="19"/>
              </w:rPr>
              <w:t>Recalculation of retained results; a fresh inference run additionally requires model weights and the recorded inference environment</w:t>
            </w:r>
          </w:p>
        </w:tc>
      </w:tr>
    </w:tbl>
    <w:p>
      <w:pPr>
        <w:spacing w:after="20"/>
      </w:pPr>
    </w:p>
    <w:p>
      <w:r>
        <w:t>The administrative outcome y is the disposition stated by CBP. Historical evidence coding z records whether an admitted excerpt supports, refutes or leaves unresolved the supplied candidate. The strict audit further distinguishes direct-text states, interpretation options and logical structures that cannot be evaluated as an outer conjunction. These targets are not interchangeable. An administrative outcome can have evidence outside the retained input, and a conservative unknown may withhold a determinate administrative answer without contradicting it.</w:t>
      </w:r>
    </w:p>
    <w:p>
      <w:r>
        <w:t>The discovery sequence of 2,482 retrieved documents, 102 candidates, 86 constructed pairs and 73 compatible-code pairs describes iterative purposive construction. It does not imply an exhaustive screen with known inclusion probabilities. The preserved retrieval material cannot reconstruct every contemporaneous screening decision. Public rulings are already selected and written with knowledge of their outcomes. Removing a holding or restoring a descriptive attribute does not turn them into original applicant dossiers.</w:t>
      </w:r>
    </w:p>
    <w:p>
      <w:r>
        <w:t>All new source and inventory interpretations are AI-assisted readings. Parallel review and exact quotation checks improve inspectability but do not substitute for independent trade-law validation. The available assistant identity is the GPT-6 family through Codex; an immutable provider snapshot was not exposed. Reviewers could access prior project materials and administrative outcomes. Historical agreement statistics therefore concern those coding procedures, not independent legal validity. The local model responses in Section S4 are separate experimental observations generated by the recorded Qwen3-14B configuration.</w:t>
      </w:r>
    </w:p>
    <w:p>
      <w:r>
        <w:t>The package preserves frozen materials and corrections as separate versions. The controlled frame-species erratum changes a condition reference and admissible evidence sets without changing inputs or re-running predictions. The formal analysis reports both reference versions and a complete family-exclusion sensitivity. Superseded input-pilot responses, qualification request failures, earlier format failures and numeric development repairs remain available. No seed or replay converts previously inspected material into an unseen validation set.</w:t>
      </w:r>
    </w:p>
    <w:p>
      <w:r>
        <w:t>Verification has two levels. Source checks confirm snapshot identity, literal quotation locations, row coverage and declared policy arithmetic. Response checks reconstruct whitelisted prompts, parse retained raw JSON and independently recount the stated metrics. Neither level establishes the physical truth of a product claim, completeness of a legal decomposition or authority of an interpretive choice. A fresh model run is a separate operation from deterministic recomputation of stored outputs.</w:t>
      </w:r>
    </w:p>
    <w:p>
      <w:r>
        <w:t>The records concern published legal materials rather than recruited participants. No study of professional review time, importer behavior or filing outcomes was conducted. The hypothetical cost grid in Section S5 is explicitly assumption dependent and includes a review-all comparator. Its units are normalized losses rather than observed money or staff hours.</w:t>
      </w:r>
    </w:p>
    <w:p>
      <w:pPr>
        <w:pStyle w:val="Heading1"/>
      </w:pPr>
      <w:r>
        <w:t>S2 Source audit and annotation lineage</w:t>
      </w:r>
    </w:p>
    <w:p>
      <w:r>
        <w:t>The source audit covers 73 historical product–exclusion pairs, 208 retained condition units and 67 official CBP rulings. Its purpose is to make the relationship between a public source, an admitted factual input and a condition state inspectable. It neither reconstructs the original importer dossier nor supplies independently validated legal answers. The candidate description remains the exclusion quoted in each ruling; it is not replaced by a superficially similar description in the January 2024 USTR index. Historical inputs and coding remain available alongside the audited records.</w:t>
      </w:r>
    </w:p>
    <w:p>
      <w:pPr>
        <w:pStyle w:val="Heading2"/>
      </w:pPr>
      <w:r>
        <w:t>S2.1 Records, statement roles and source locations</w:t>
      </w:r>
    </w:p>
    <w:p>
      <w:r>
        <w:t>Every retained condition, its complete frozen factual input, cited evidence and product–attribute assignment was reread. All 47 historically unknown pairs received additional examination of relevant factual and analytical passages throughout their complete public rulings. The remaining pairs received complete excerpt review and source-span checks, with targeted context examination for numerical and refuted conditions. The assembly program checks locations and coverage; the product descriptions, attribute assignments and interpretive distinctions were assigned through AI-assisted reading rather than inferred by that program.</w:t>
      </w:r>
    </w:p>
    <w:p>
      <w:r>
        <w:t xml:space="preserve">Table S2.1 lists the principal fields in </w:t>
      </w:r>
      <w:r>
        <w:rPr>
          <w:rFonts w:ascii="Consolas" w:hAnsi="Consolas"/>
          <w:sz w:val="18"/>
        </w:rPr>
        <w:t>source_audit/condition_audit_long.jsonl</w:t>
      </w:r>
      <w:r>
        <w:t>. These records preserve the original and later operational coding, rather than overwriting either with the strict audit state. A condition identifier denotes an inherited review unit. It does not certify that the unit is atomic or that the decomposition exhausts the legal description.</w:t>
      </w:r>
    </w:p>
    <w:p>
      <w:pPr>
        <w:keepNext/>
      </w:pPr>
      <w:r>
        <w:rPr>
          <w:b/>
        </w:rPr>
        <w:t>Table S2.1 Principal fields and their evidentiary functions</w:t>
      </w:r>
    </w:p>
    <w:tbl>
      <w:tblPr>
        <w:tblW w:type="auto" w:w="0"/>
        <w:jc w:val="center"/>
        <w:tblLayout w:type="fixed"/>
        <w:tblLook w:firstColumn="1" w:firstRow="1" w:lastColumn="0" w:lastRow="0" w:noHBand="0" w:noVBand="1" w:val="04A0"/>
        <w:tblBorders>
          <w:top w:val="single" w:sz="7" w:color="404040"/>
          <w:bottom w:val="single" w:sz="7" w:color="404040"/>
          <w:left w:val="nil" w:sz="0" w:color="404040"/>
          <w:right w:val="nil" w:sz="0" w:color="404040"/>
          <w:insideH w:val="nil" w:sz="0" w:color="404040"/>
          <w:insideV w:val="nil" w:sz="0" w:color="404040"/>
        </w:tblBorders>
        <w:tblLayout w:type="fixed"/>
      </w:tblPr>
      <w:tblGrid>
        <w:gridCol w:w="1166"/>
        <w:gridCol w:w="4464"/>
        <w:gridCol w:w="4090"/>
      </w:tblGrid>
      <w:tr>
        <w:trPr>
          <w:cantSplit/>
          <w:tblHeader/>
        </w:trPr>
        <w:tc>
          <w:tcPr>
            <w:tcW w:type="dxa" w:w="1166"/>
            <w:vAlign w:val="center"/>
            <w:tcBorders>
              <w:bottom w:val="single" w:sz="5" w:color="404040"/>
            </w:tcBorders>
          </w:tcPr>
          <w:p>
            <w:pPr>
              <w:keepNext/>
              <w:spacing w:after="80" w:before="80" w:line="252" w:lineRule="auto"/>
            </w:pPr>
            <w:r>
              <w:rPr>
                <w:rFonts w:ascii="Arial" w:hAnsi="Arial"/>
                <w:b/>
                <w:sz w:val="19"/>
              </w:rPr>
              <w:t>Record group</w:t>
            </w:r>
          </w:p>
        </w:tc>
        <w:tc>
          <w:tcPr>
            <w:tcW w:type="dxa" w:w="4464"/>
            <w:vAlign w:val="center"/>
            <w:tcBorders>
              <w:bottom w:val="single" w:sz="5" w:color="404040"/>
            </w:tcBorders>
          </w:tcPr>
          <w:p>
            <w:pPr>
              <w:keepNext/>
              <w:spacing w:after="80" w:before="80" w:line="252" w:lineRule="auto"/>
            </w:pPr>
            <w:r>
              <w:rPr>
                <w:rFonts w:ascii="Arial" w:hAnsi="Arial"/>
                <w:b/>
                <w:sz w:val="19"/>
              </w:rPr>
              <w:t>Retained information</w:t>
            </w:r>
          </w:p>
        </w:tc>
        <w:tc>
          <w:tcPr>
            <w:tcW w:type="dxa" w:w="4090"/>
            <w:vAlign w:val="center"/>
            <w:tcBorders>
              <w:bottom w:val="single" w:sz="5" w:color="404040"/>
            </w:tcBorders>
          </w:tcPr>
          <w:p>
            <w:pPr>
              <w:keepNext/>
              <w:spacing w:after="80" w:before="80" w:line="252" w:lineRule="auto"/>
            </w:pPr>
            <w:r>
              <w:rPr>
                <w:rFonts w:ascii="Arial" w:hAnsi="Arial"/>
                <w:b/>
                <w:sz w:val="19"/>
              </w:rPr>
              <w:t>Function</w:t>
            </w:r>
          </w:p>
        </w:tc>
      </w:tr>
      <w:tr>
        <w:trPr>
          <w:cantSplit/>
        </w:trPr>
        <w:tc>
          <w:tcPr>
            <w:tcW w:type="dxa" w:w="1166"/>
            <w:vAlign w:val="center"/>
          </w:tcPr>
          <w:p>
            <w:pPr>
              <w:spacing w:after="80" w:before="80" w:line="252" w:lineRule="auto"/>
            </w:pPr>
            <w:r>
              <w:rPr>
                <w:rFonts w:ascii="Arial" w:hAnsi="Arial"/>
                <w:sz w:val="19"/>
              </w:rPr>
              <w:t>Identity and rule</w:t>
            </w:r>
          </w:p>
        </w:tc>
        <w:tc>
          <w:tcPr>
            <w:tcW w:type="dxa" w:w="4464"/>
            <w:vAlign w:val="center"/>
          </w:tcPr>
          <w:p>
            <w:pPr>
              <w:spacing w:after="80" w:before="80" w:line="252" w:lineRule="auto"/>
            </w:pPr>
            <w:r>
              <w:rPr>
                <w:rFonts w:ascii="Arial" w:hAnsi="Arial"/>
                <w:sz w:val="19"/>
              </w:rPr>
              <w:t>Case, ruling and condition identifiers; literal candidate quote and location</w:t>
            </w:r>
          </w:p>
        </w:tc>
        <w:tc>
          <w:tcPr>
            <w:tcW w:type="dxa" w:w="4090"/>
            <w:vAlign w:val="center"/>
          </w:tcPr>
          <w:p>
            <w:pPr>
              <w:spacing w:after="80" w:before="80" w:line="252" w:lineRule="auto"/>
            </w:pPr>
            <w:r>
              <w:rPr>
                <w:rFonts w:ascii="Arial" w:hAnsi="Arial"/>
                <w:sz w:val="19"/>
              </w:rPr>
              <w:t>Links the unit to its actual historical scope</w:t>
            </w:r>
          </w:p>
        </w:tc>
      </w:tr>
      <w:tr>
        <w:trPr>
          <w:cantSplit/>
        </w:trPr>
        <w:tc>
          <w:tcPr>
            <w:tcW w:type="dxa" w:w="1166"/>
            <w:vAlign w:val="center"/>
          </w:tcPr>
          <w:p>
            <w:pPr>
              <w:spacing w:after="80" w:before="80" w:line="252" w:lineRule="auto"/>
            </w:pPr>
            <w:r>
              <w:rPr>
                <w:rFonts w:ascii="Arial" w:hAnsi="Arial"/>
                <w:sz w:val="19"/>
              </w:rPr>
              <w:t>Governed relation</w:t>
            </w:r>
          </w:p>
        </w:tc>
        <w:tc>
          <w:tcPr>
            <w:tcW w:type="dxa" w:w="4464"/>
            <w:vAlign w:val="center"/>
          </w:tcPr>
          <w:p>
            <w:pPr>
              <w:spacing w:after="80" w:before="80" w:line="252" w:lineRule="auto"/>
            </w:pPr>
            <w:r>
              <w:rPr>
                <w:rFonts w:ascii="Arial" w:hAnsi="Arial"/>
                <w:sz w:val="19"/>
              </w:rPr>
              <w:t>Product or component, attribute, quantifier and measurement scope</w:t>
            </w:r>
          </w:p>
        </w:tc>
        <w:tc>
          <w:tcPr>
            <w:tcW w:type="dxa" w:w="4090"/>
            <w:vAlign w:val="center"/>
          </w:tcPr>
          <w:p>
            <w:pPr>
              <w:spacing w:after="80" w:before="80" w:line="252" w:lineRule="auto"/>
            </w:pPr>
            <w:r>
              <w:rPr>
                <w:rFonts w:ascii="Arial" w:hAnsi="Arial"/>
                <w:sz w:val="19"/>
              </w:rPr>
              <w:t>Distinguishes the target from other products, parts or ratings</w:t>
            </w:r>
          </w:p>
        </w:tc>
      </w:tr>
      <w:tr>
        <w:trPr>
          <w:cantSplit/>
        </w:trPr>
        <w:tc>
          <w:tcPr>
            <w:tcW w:type="dxa" w:w="1166"/>
            <w:vAlign w:val="center"/>
          </w:tcPr>
          <w:p>
            <w:pPr>
              <w:spacing w:after="80" w:before="80" w:line="252" w:lineRule="auto"/>
            </w:pPr>
            <w:r>
              <w:rPr>
                <w:rFonts w:ascii="Arial" w:hAnsi="Arial"/>
                <w:sz w:val="19"/>
              </w:rPr>
              <w:t>Logic</w:t>
            </w:r>
          </w:p>
        </w:tc>
        <w:tc>
          <w:tcPr>
            <w:tcW w:type="dxa" w:w="4464"/>
            <w:vAlign w:val="center"/>
          </w:tcPr>
          <w:p>
            <w:pPr>
              <w:spacing w:after="80" w:before="80" w:line="252" w:lineRule="auto"/>
            </w:pPr>
            <w:r>
              <w:rPr>
                <w:rFonts w:ascii="Arial" w:hAnsi="Arial"/>
                <w:sz w:val="19"/>
              </w:rPr>
              <w:t>Signed requirement, logical role, local alternatives, exception or illustrative status</w:t>
            </w:r>
          </w:p>
        </w:tc>
        <w:tc>
          <w:tcPr>
            <w:tcW w:type="dxa" w:w="4090"/>
            <w:vAlign w:val="center"/>
          </w:tcPr>
          <w:p>
            <w:pPr>
              <w:spacing w:after="80" w:before="80" w:line="252" w:lineRule="auto"/>
            </w:pPr>
            <w:r>
              <w:rPr>
                <w:rFonts w:ascii="Arial" w:hAnsi="Arial"/>
                <w:sz w:val="19"/>
              </w:rPr>
              <w:t>Prevents negative wording and local alternatives from becoming mandatory positive conjuncts</w:t>
            </w:r>
          </w:p>
        </w:tc>
      </w:tr>
      <w:tr>
        <w:trPr>
          <w:cantSplit/>
        </w:trPr>
        <w:tc>
          <w:tcPr>
            <w:tcW w:type="dxa" w:w="1166"/>
            <w:vAlign w:val="center"/>
          </w:tcPr>
          <w:p>
            <w:pPr>
              <w:spacing w:after="80" w:before="80" w:line="252" w:lineRule="auto"/>
            </w:pPr>
            <w:r>
              <w:rPr>
                <w:rFonts w:ascii="Arial" w:hAnsi="Arial"/>
                <w:sz w:val="19"/>
              </w:rPr>
              <w:t>Evidence</w:t>
            </w:r>
          </w:p>
        </w:tc>
        <w:tc>
          <w:tcPr>
            <w:tcW w:type="dxa" w:w="4464"/>
            <w:vAlign w:val="center"/>
          </w:tcPr>
          <w:p>
            <w:pPr>
              <w:spacing w:after="80" w:before="80" w:line="252" w:lineRule="auto"/>
            </w:pPr>
            <w:r>
              <w:rPr>
                <w:rFonts w:ascii="Arial" w:hAnsi="Arial"/>
                <w:sz w:val="19"/>
              </w:rPr>
              <w:t>Frozen quote, excerpt span, continuous source span or span array, paragraph identifier and attribution</w:t>
            </w:r>
          </w:p>
        </w:tc>
        <w:tc>
          <w:tcPr>
            <w:tcW w:type="dxa" w:w="4090"/>
            <w:vAlign w:val="center"/>
          </w:tcPr>
          <w:p>
            <w:pPr>
              <w:spacing w:after="80" w:before="80" w:line="252" w:lineRule="auto"/>
            </w:pPr>
            <w:r>
              <w:rPr>
                <w:rFonts w:ascii="Arial" w:hAnsi="Arial"/>
                <w:sz w:val="19"/>
              </w:rPr>
              <w:t>Separates admitted evidence from its public-source location</w:t>
            </w:r>
          </w:p>
        </w:tc>
      </w:tr>
      <w:tr>
        <w:trPr>
          <w:cantSplit/>
        </w:trPr>
        <w:tc>
          <w:tcPr>
            <w:tcW w:type="dxa" w:w="1166"/>
            <w:vAlign w:val="center"/>
          </w:tcPr>
          <w:p>
            <w:pPr>
              <w:spacing w:after="80" w:before="80" w:line="252" w:lineRule="auto"/>
            </w:pPr>
            <w:r>
              <w:rPr>
                <w:rFonts w:ascii="Arial" w:hAnsi="Arial"/>
                <w:sz w:val="19"/>
              </w:rPr>
              <w:t>Lineage and state</w:t>
            </w:r>
          </w:p>
        </w:tc>
        <w:tc>
          <w:tcPr>
            <w:tcW w:type="dxa" w:w="4464"/>
            <w:vAlign w:val="center"/>
          </w:tcPr>
          <w:p>
            <w:pPr>
              <w:spacing w:after="80" w:before="80" w:line="252" w:lineRule="auto"/>
            </w:pPr>
            <w:r>
              <w:rPr>
                <w:rFonts w:ascii="Arial" w:hAnsi="Arial"/>
                <w:sz w:val="19"/>
              </w:rPr>
              <w:t>Original coding, historical operational coding, strict excerpt and restored states</w:t>
            </w:r>
          </w:p>
        </w:tc>
        <w:tc>
          <w:tcPr>
            <w:tcW w:type="dxa" w:w="4090"/>
            <w:vAlign w:val="center"/>
          </w:tcPr>
          <w:p>
            <w:pPr>
              <w:spacing w:after="80" w:before="80" w:line="252" w:lineRule="auto"/>
            </w:pPr>
            <w:r>
              <w:rPr>
                <w:rFonts w:ascii="Arial" w:hAnsi="Arial"/>
                <w:sz w:val="19"/>
              </w:rPr>
              <w:t>Preserves changes in policy and information availability</w:t>
            </w:r>
          </w:p>
        </w:tc>
      </w:tr>
      <w:tr>
        <w:trPr>
          <w:cantSplit/>
        </w:trPr>
        <w:tc>
          <w:tcPr>
            <w:tcW w:type="dxa" w:w="1166"/>
            <w:vAlign w:val="center"/>
          </w:tcPr>
          <w:p>
            <w:pPr>
              <w:spacing w:after="80" w:before="80" w:line="252" w:lineRule="auto"/>
            </w:pPr>
            <w:r>
              <w:rPr>
                <w:rFonts w:ascii="Arial" w:hAnsi="Arial"/>
                <w:sz w:val="19"/>
              </w:rPr>
              <w:t>Interpretation</w:t>
            </w:r>
          </w:p>
        </w:tc>
        <w:tc>
          <w:tcPr>
            <w:tcW w:type="dxa" w:w="4464"/>
            <w:vAlign w:val="center"/>
          </w:tcPr>
          <w:p>
            <w:pPr>
              <w:spacing w:after="80" w:before="80" w:line="252" w:lineRule="auto"/>
            </w:pPr>
            <w:r>
              <w:rPr>
                <w:rFonts w:ascii="Arial" w:hAnsi="Arial"/>
                <w:sz w:val="19"/>
              </w:rPr>
              <w:t>Reference tier, unresolved cause, reasoning and named optional mappings</w:t>
            </w:r>
          </w:p>
        </w:tc>
        <w:tc>
          <w:tcPr>
            <w:tcW w:type="dxa" w:w="4090"/>
            <w:vAlign w:val="center"/>
          </w:tcPr>
          <w:p>
            <w:pPr>
              <w:spacing w:after="80" w:before="80" w:line="252" w:lineRule="auto"/>
            </w:pPr>
            <w:r>
              <w:rPr>
                <w:rFonts w:ascii="Arial" w:hAnsi="Arial"/>
                <w:sz w:val="19"/>
              </w:rPr>
              <w:t>Makes assumptions replaceable without replacing the source</w:t>
            </w:r>
          </w:p>
        </w:tc>
      </w:tr>
    </w:tbl>
    <w:p>
      <w:pPr>
        <w:spacing w:after="20"/>
      </w:pPr>
    </w:p>
    <w:p>
      <w:r>
        <w:t>The source-location checks validate 455 continuous span instances and two noncontiguous quotation records: 208 rule locations, 231 continuous source locations corresponding to 228 frozen evidence quotations, and 16 restoration or contextual records. Repeated quotations can contribute more than one checked instance; 455 is not a count of independent observations. The two composite records, N314745_self and N314745_pedal, concatenate selected product paragraphs from the same ruling. Their members have separate continuous locations, rather than an invented continuous source span.</w:t>
      </w:r>
    </w:p>
    <w:p>
      <w:r>
        <w:t>Character offsets refer to the unmodified decoded official text. Recorded whitespace or typographic normalization permits matching a retained quotation while preserving the original characters at its source location. Source attribution distinguishes party descriptions, laboratory findings, agency-stated attributes, definitions, application reasoning and outcomes. A descriptive clause in the analysis can be admitted without admitting the applicability conclusion surrounding it. Conversely, a party's proposed legal characterization does not become an established physical attribute merely because it appears under a factual heading. Successful location checks establish provenance, not legal or empirical validity.</w:t>
      </w:r>
    </w:p>
    <w:p>
      <w:pPr>
        <w:pStyle w:val="Heading2"/>
      </w:pPr>
      <w:r>
        <w:t>S2.2 Reference tiers and state lineage</w:t>
      </w:r>
    </w:p>
    <w:p>
      <w:r>
        <w:t>The audit assigns 132 units to the direct tier, 45 to the interpretive tier, 19 to insufficient evidence and 12 to disputed evidence. Of the direct units, 130 are scoreable requirements and two are nonbinding: an illustrative “including” list and a “whether or not” permission. Direct relations allow explicit textual attributes, ordinary lexical equivalence, simple comparisons, unit conversion and discrete membership checks. They do not imply independent measurement of the reported attribute. Interpretive relations require an additional definition, category, functional equivalence or scope mapping. Insufficient records lack an admitted attribute in the relevant input. Disputed records retain conflicting assertions or unresolved interpretation, object or quantifier choices.</w:t>
      </w:r>
    </w:p>
    <w:p>
      <w:r>
        <w:t>Tier and state are distinct. Tier assignment describes the evidentiary relation in the frozen input and remains recorded after restoration. The strict excerpt has 125 supported, five refuted, 76 unknown and two non-applicable units. Admitting the directly recoverable attributes yields 129 supported, five refuted, 72 unknown and two non-applicable units. These states must not be merged with the historical case reference of 21 supported, five refuted and 47 unknown pairs: they use different admission and aggregation policies.</w:t>
      </w:r>
    </w:p>
    <w:p>
      <w:pPr>
        <w:pStyle w:val="Heading2"/>
      </w:pPr>
      <w:r>
        <w:t>S2.3 Why historically unknown cases remain unresolved</w:t>
      </w:r>
    </w:p>
    <w:p>
      <w:r>
        <w:t>The 47 historically unknown pairs contain 137 condition units. Fifty-nine conditions were historically unknown; 67 are unknown under the stricter direct-relation policy, which also withholds several previously accepted interpretations. Table S2.2 describes overlapping cause sets within those 47 pairs. Its condition column counts strict-unknown units belonging to each set. Neither column forms a mutually exclusive partition.</w:t>
      </w:r>
    </w:p>
    <w:p>
      <w:pPr>
        <w:keepNext/>
      </w:pPr>
      <w:r>
        <w:rPr>
          <w:b/>
        </w:rPr>
        <w:t>Table S2.2 Overlapping provenance of uncertainty in the 47 historically unknown pairs</w:t>
      </w:r>
    </w:p>
    <w:tbl>
      <w:tblPr>
        <w:tblW w:type="auto" w:w="0"/>
        <w:jc w:val="center"/>
        <w:tblLayout w:type="fixed"/>
        <w:tblLook w:firstColumn="1" w:firstRow="1" w:lastColumn="0" w:lastRow="0" w:noHBand="0" w:noVBand="1" w:val="04A0"/>
        <w:tblBorders>
          <w:top w:val="single" w:sz="7" w:color="404040"/>
          <w:bottom w:val="single" w:sz="7" w:color="404040"/>
          <w:left w:val="nil" w:sz="0" w:color="404040"/>
          <w:right w:val="nil" w:sz="0" w:color="404040"/>
          <w:insideH w:val="nil" w:sz="0" w:color="404040"/>
          <w:insideV w:val="nil" w:sz="0" w:color="404040"/>
        </w:tblBorders>
        <w:tblLayout w:type="fixed"/>
      </w:tblPr>
      <w:tblGrid>
        <w:gridCol w:w="4291"/>
        <w:gridCol w:w="2174"/>
        <w:gridCol w:w="3254"/>
      </w:tblGrid>
      <w:tr>
        <w:trPr>
          <w:cantSplit/>
          <w:tblHeader/>
        </w:trPr>
        <w:tc>
          <w:tcPr>
            <w:tcW w:type="dxa" w:w="4291"/>
            <w:vAlign w:val="center"/>
            <w:tcBorders>
              <w:bottom w:val="single" w:sz="5" w:color="404040"/>
            </w:tcBorders>
          </w:tcPr>
          <w:p>
            <w:pPr>
              <w:keepNext/>
              <w:spacing w:after="80" w:before="80" w:line="252" w:lineRule="auto"/>
            </w:pPr>
            <w:r>
              <w:rPr>
                <w:rFonts w:ascii="Arial" w:hAnsi="Arial"/>
                <w:b/>
                <w:sz w:val="19"/>
              </w:rPr>
              <w:t>Cause set</w:t>
            </w:r>
          </w:p>
        </w:tc>
        <w:tc>
          <w:tcPr>
            <w:tcW w:type="dxa" w:w="2174"/>
            <w:vAlign w:val="center"/>
            <w:tcBorders>
              <w:bottom w:val="single" w:sz="5" w:color="404040"/>
            </w:tcBorders>
          </w:tcPr>
          <w:p>
            <w:pPr>
              <w:keepNext/>
              <w:spacing w:after="80" w:before="80" w:line="252" w:lineRule="auto"/>
            </w:pPr>
            <w:r>
              <w:rPr>
                <w:rFonts w:ascii="Arial" w:hAnsi="Arial"/>
                <w:b/>
                <w:sz w:val="19"/>
              </w:rPr>
              <w:t>Pairs, denominator 47</w:t>
            </w:r>
          </w:p>
        </w:tc>
        <w:tc>
          <w:tcPr>
            <w:tcW w:type="dxa" w:w="3254"/>
            <w:vAlign w:val="center"/>
            <w:tcBorders>
              <w:bottom w:val="single" w:sz="5" w:color="404040"/>
            </w:tcBorders>
          </w:tcPr>
          <w:p>
            <w:pPr>
              <w:keepNext/>
              <w:spacing w:after="80" w:before="80" w:line="252" w:lineRule="auto"/>
            </w:pPr>
            <w:r>
              <w:rPr>
                <w:rFonts w:ascii="Arial" w:hAnsi="Arial"/>
                <w:b/>
                <w:sz w:val="19"/>
              </w:rPr>
              <w:t>Strict-unknown units, denominator 67</w:t>
            </w:r>
          </w:p>
        </w:tc>
      </w:tr>
      <w:tr>
        <w:trPr>
          <w:cantSplit/>
        </w:trPr>
        <w:tc>
          <w:tcPr>
            <w:tcW w:type="dxa" w:w="4291"/>
            <w:vAlign w:val="center"/>
          </w:tcPr>
          <w:p>
            <w:pPr>
              <w:spacing w:after="80" w:before="80" w:line="252" w:lineRule="auto"/>
            </w:pPr>
            <w:r>
              <w:rPr>
                <w:rFonts w:ascii="Arial" w:hAnsi="Arial"/>
                <w:sz w:val="19"/>
              </w:rPr>
              <w:t>Relevant assertion omitted from the excerpt</w:t>
            </w:r>
          </w:p>
        </w:tc>
        <w:tc>
          <w:tcPr>
            <w:tcW w:type="dxa" w:w="2174"/>
            <w:vAlign w:val="center"/>
          </w:tcPr>
          <w:p>
            <w:pPr>
              <w:spacing w:after="80" w:before="80" w:line="252" w:lineRule="auto"/>
            </w:pPr>
            <w:r>
              <w:rPr>
                <w:rFonts w:ascii="Arial" w:hAnsi="Arial"/>
                <w:sz w:val="19"/>
              </w:rPr>
              <w:t>5</w:t>
            </w:r>
          </w:p>
        </w:tc>
        <w:tc>
          <w:tcPr>
            <w:tcW w:type="dxa" w:w="3254"/>
            <w:vAlign w:val="center"/>
          </w:tcPr>
          <w:p>
            <w:pPr>
              <w:spacing w:after="80" w:before="80" w:line="252" w:lineRule="auto"/>
            </w:pPr>
            <w:r>
              <w:rPr>
                <w:rFonts w:ascii="Arial" w:hAnsi="Arial"/>
                <w:sz w:val="19"/>
              </w:rPr>
              <w:t>7</w:t>
            </w:r>
          </w:p>
        </w:tc>
      </w:tr>
      <w:tr>
        <w:trPr>
          <w:cantSplit/>
        </w:trPr>
        <w:tc>
          <w:tcPr>
            <w:tcW w:type="dxa" w:w="4291"/>
            <w:vAlign w:val="center"/>
          </w:tcPr>
          <w:p>
            <w:pPr>
              <w:spacing w:after="80" w:before="80" w:line="252" w:lineRule="auto"/>
            </w:pPr>
            <w:r>
              <w:rPr>
                <w:rFonts w:ascii="Arial" w:hAnsi="Arial"/>
                <w:sz w:val="19"/>
              </w:rPr>
              <w:t>No sufficient attribute located in the public source</w:t>
            </w:r>
          </w:p>
        </w:tc>
        <w:tc>
          <w:tcPr>
            <w:tcW w:type="dxa" w:w="2174"/>
            <w:vAlign w:val="center"/>
          </w:tcPr>
          <w:p>
            <w:pPr>
              <w:spacing w:after="80" w:before="80" w:line="252" w:lineRule="auto"/>
            </w:pPr>
            <w:r>
              <w:rPr>
                <w:rFonts w:ascii="Arial" w:hAnsi="Arial"/>
                <w:sz w:val="19"/>
              </w:rPr>
              <w:t>10</w:t>
            </w:r>
          </w:p>
        </w:tc>
        <w:tc>
          <w:tcPr>
            <w:tcW w:type="dxa" w:w="3254"/>
            <w:vAlign w:val="center"/>
          </w:tcPr>
          <w:p>
            <w:pPr>
              <w:spacing w:after="80" w:before="80" w:line="252" w:lineRule="auto"/>
            </w:pPr>
            <w:r>
              <w:rPr>
                <w:rFonts w:ascii="Arial" w:hAnsi="Arial"/>
                <w:sz w:val="19"/>
              </w:rPr>
              <w:t>12</w:t>
            </w:r>
          </w:p>
        </w:tc>
      </w:tr>
      <w:tr>
        <w:trPr>
          <w:cantSplit/>
        </w:trPr>
        <w:tc>
          <w:tcPr>
            <w:tcW w:type="dxa" w:w="4291"/>
            <w:vAlign w:val="center"/>
          </w:tcPr>
          <w:p>
            <w:pPr>
              <w:spacing w:after="80" w:before="80" w:line="252" w:lineRule="auto"/>
            </w:pPr>
            <w:r>
              <w:rPr>
                <w:rFonts w:ascii="Arial" w:hAnsi="Arial"/>
                <w:sz w:val="19"/>
              </w:rPr>
              <w:t>Definition, category or use interpretation</w:t>
            </w:r>
          </w:p>
        </w:tc>
        <w:tc>
          <w:tcPr>
            <w:tcW w:type="dxa" w:w="2174"/>
            <w:vAlign w:val="center"/>
          </w:tcPr>
          <w:p>
            <w:pPr>
              <w:spacing w:after="80" w:before="80" w:line="252" w:lineRule="auto"/>
            </w:pPr>
            <w:r>
              <w:rPr>
                <w:rFonts w:ascii="Arial" w:hAnsi="Arial"/>
                <w:sz w:val="19"/>
              </w:rPr>
              <w:t>36</w:t>
            </w:r>
          </w:p>
        </w:tc>
        <w:tc>
          <w:tcPr>
            <w:tcW w:type="dxa" w:w="3254"/>
            <w:vAlign w:val="center"/>
          </w:tcPr>
          <w:p>
            <w:pPr>
              <w:spacing w:after="80" w:before="80" w:line="252" w:lineRule="auto"/>
            </w:pPr>
            <w:r>
              <w:rPr>
                <w:rFonts w:ascii="Arial" w:hAnsi="Arial"/>
                <w:sz w:val="19"/>
              </w:rPr>
              <w:t>38</w:t>
            </w:r>
          </w:p>
        </w:tc>
      </w:tr>
      <w:tr>
        <w:trPr>
          <w:cantSplit/>
        </w:trPr>
        <w:tc>
          <w:tcPr>
            <w:tcW w:type="dxa" w:w="4291"/>
            <w:vAlign w:val="center"/>
          </w:tcPr>
          <w:p>
            <w:pPr>
              <w:spacing w:after="80" w:before="80" w:line="252" w:lineRule="auto"/>
            </w:pPr>
            <w:r>
              <w:rPr>
                <w:rFonts w:ascii="Arial" w:hAnsi="Arial"/>
                <w:sz w:val="19"/>
              </w:rPr>
              <w:t>Object, component or measurement scope</w:t>
            </w:r>
          </w:p>
        </w:tc>
        <w:tc>
          <w:tcPr>
            <w:tcW w:type="dxa" w:w="2174"/>
            <w:vAlign w:val="center"/>
          </w:tcPr>
          <w:p>
            <w:pPr>
              <w:spacing w:after="80" w:before="80" w:line="252" w:lineRule="auto"/>
            </w:pPr>
            <w:r>
              <w:rPr>
                <w:rFonts w:ascii="Arial" w:hAnsi="Arial"/>
                <w:sz w:val="19"/>
              </w:rPr>
              <w:t>11</w:t>
            </w:r>
          </w:p>
        </w:tc>
        <w:tc>
          <w:tcPr>
            <w:tcW w:type="dxa" w:w="3254"/>
            <w:vAlign w:val="center"/>
          </w:tcPr>
          <w:p>
            <w:pPr>
              <w:spacing w:after="80" w:before="80" w:line="252" w:lineRule="auto"/>
            </w:pPr>
            <w:r>
              <w:rPr>
                <w:rFonts w:ascii="Arial" w:hAnsi="Arial"/>
                <w:sz w:val="19"/>
              </w:rPr>
              <w:t>12</w:t>
            </w:r>
          </w:p>
        </w:tc>
      </w:tr>
      <w:tr>
        <w:trPr>
          <w:cantSplit/>
        </w:trPr>
        <w:tc>
          <w:tcPr>
            <w:tcW w:type="dxa" w:w="4291"/>
            <w:vAlign w:val="center"/>
          </w:tcPr>
          <w:p>
            <w:pPr>
              <w:spacing w:after="80" w:before="80" w:line="252" w:lineRule="auto"/>
            </w:pPr>
            <w:r>
              <w:rPr>
                <w:rFonts w:ascii="Arial" w:hAnsi="Arial"/>
                <w:sz w:val="19"/>
              </w:rPr>
              <w:t>Source or interpretation conflict</w:t>
            </w:r>
          </w:p>
        </w:tc>
        <w:tc>
          <w:tcPr>
            <w:tcW w:type="dxa" w:w="2174"/>
            <w:vAlign w:val="center"/>
          </w:tcPr>
          <w:p>
            <w:pPr>
              <w:spacing w:after="80" w:before="80" w:line="252" w:lineRule="auto"/>
            </w:pPr>
            <w:r>
              <w:rPr>
                <w:rFonts w:ascii="Arial" w:hAnsi="Arial"/>
                <w:sz w:val="19"/>
              </w:rPr>
              <w:t>5</w:t>
            </w:r>
          </w:p>
        </w:tc>
        <w:tc>
          <w:tcPr>
            <w:tcW w:type="dxa" w:w="3254"/>
            <w:vAlign w:val="center"/>
          </w:tcPr>
          <w:p>
            <w:pPr>
              <w:spacing w:after="80" w:before="80" w:line="252" w:lineRule="auto"/>
            </w:pPr>
            <w:r>
              <w:rPr>
                <w:rFonts w:ascii="Arial" w:hAnsi="Arial"/>
                <w:sz w:val="19"/>
              </w:rPr>
              <w:t>5</w:t>
            </w:r>
          </w:p>
        </w:tc>
      </w:tr>
    </w:tbl>
    <w:p>
      <w:pPr>
        <w:spacing w:after="20"/>
      </w:pPr>
    </w:p>
    <w:p>
      <w:r>
        <w:t xml:space="preserve">A pair can contain both an omitted attribute and an unresolved definition. The membership lists in </w:t>
      </w:r>
      <w:r>
        <w:rPr>
          <w:rFonts w:ascii="Consolas" w:hAnsi="Consolas"/>
          <w:sz w:val="18"/>
        </w:rPr>
        <w:t>source_audit/source_audit_summary.json</w:t>
      </w:r>
      <w:r>
        <w:t xml:space="preserve"> permit these overlaps to be inspected.</w:t>
      </w:r>
    </w:p>
    <w:p>
      <w:r>
        <w:t>A separate tabulation crosses those causes with the operations that can settle a unit (</w:t>
      </w:r>
      <w:r>
        <w:rPr>
          <w:rFonts w:ascii="Consolas" w:hAnsi="Consolas"/>
          <w:sz w:val="18"/>
        </w:rPr>
        <w:t>source_audit/cross_tab_analysis.py</w:t>
      </w:r>
      <w:r>
        <w:t xml:space="preserve">, output </w:t>
      </w:r>
      <w:r>
        <w:rPr>
          <w:rFonts w:ascii="Consolas" w:hAnsi="Consolas"/>
          <w:sz w:val="18"/>
        </w:rPr>
        <w:t>source_audit/cross_tab_causes_policies.json</w:t>
      </w:r>
      <w:r>
        <w:t>). Of the 67 strict-unknown conditions, 4 reach a determinate state when a directly descriptive public sentence is restored, 17 reach a determinate state under at least one interpretation option recorded for that unit, one belongs to both sets, and 47 change under neither operation. Within the cause sets the split is uneven: 4 of the 7 omission units are repaired by restoration, no unit in the absent-attribute set is, 12 of the 38 definition, category or use units carry a usable option, 3 of the 12 scope units do, and 3 of the 5 conflict units do. The 47 residual units are those for which this audit records neither a descriptive sentence to admit nor a declared mapping to apply. They are not thereby declared unresolvable, because another analyst could record an additional option, and they are separately counted for that reason. “No sufficient attribute located” concerns the public ruling examined, not every document that may exist outside it. Silence is not converted into a negative attribute. Context restoration also need not resolve a property: N316485's complete individual-import sentence clarifies the procedural scope, but supplies no independent assertion that the plywood is unfinished.</w:t>
      </w:r>
    </w:p>
    <w:p>
      <w:pPr>
        <w:pStyle w:val="Heading2"/>
      </w:pPr>
      <w:r>
        <w:t>S2.4 Direct restoration and its limits</w:t>
      </w:r>
    </w:p>
    <w:p>
      <w:r>
        <w:t xml:space="preserve">Four condition relations in three rulings change from strict unknown to support. H330938 c4 receives the statement that submitted documentation describes cables imported without connectors. H322923 c2 receives the explicit four-wheel description. H340899 c3 and c4 receive an assertion of self-contained electric motors with power not exceeding 1,500 W. These relations use three distinct added source sentences. Their original locations and statement attribution are retained in </w:t>
      </w:r>
      <w:r>
        <w:rPr>
          <w:rFonts w:ascii="Consolas" w:hAnsi="Consolas"/>
          <w:sz w:val="18"/>
        </w:rPr>
        <w:t>source_audit/recovered_attribute_spans.jsonl</w:t>
      </w:r>
      <w:r>
        <w:t>.</w:t>
      </w:r>
    </w:p>
    <w:p>
      <w:r>
        <w:t>Only three of the four conditions were historically unknown. H340899 c3 had already been inferred as supported in the historical reference; its before-state is unknown under the stricter direct-text policy. Accordingly, the experiment measures changed availability of explicit attribute evidence, not correction of four historical unknown labels. Whole-case uncertainty can persist after restoration. Other passages are retained separately when their use requires additional decisions: H341677's denial of network communication requires a communications reading of “wireless,” while H314080's width and areal-mass intervals repeat the protesting party's proposed exclusion description. The strict policy retains these as attributed claims with an explicit acceptance option. Party attribution and absence of laboratory retesting are not general exclusion criteria.</w:t>
      </w:r>
    </w:p>
    <w:p>
      <w:pPr>
        <w:pStyle w:val="Heading2"/>
      </w:pPr>
      <w:r>
        <w:t>S2.5 Aggregation and declared interpretation sensitivity</w:t>
      </w:r>
    </w:p>
    <w:p>
      <w:r>
        <w:t>Fifty-eight pairs permit the restricted outer conjunction over their signed condition units. Fifteen are withheld because alternatives, exceptions, examples or composite-object scope have not been resolved for that interface. Withholding these cases does not imply that their individual conditions are uninformative. The strict excerpt and directly restored versions both produce ten supported, three refuted and 45 unknown aggregate states among the 58 pairs; the other 15 retain an unresolved-logic status.</w:t>
      </w:r>
    </w:p>
    <w:p>
      <w:r>
        <w:t xml:space="preserve">The sensitivity analysis enumerates only named interpretive or disputed options already recorded in the audit. Direct full-source relations remain fixed, insufficient conditions without admitted resolution remain unknown, and interpretive conditions without an available mapping remain unknown. Each optional mapping may also be withheld. Table S2.3 gives actual joint results from three fully specified packages, whose case-level choices are recorded in </w:t>
      </w:r>
      <w:r>
        <w:rPr>
          <w:rFonts w:ascii="Consolas" w:hAnsi="Consolas"/>
          <w:sz w:val="18"/>
        </w:rPr>
        <w:t>source_audit/policy_sensitivity.json</w:t>
      </w:r>
      <w:r>
        <w:t>.</w:t>
      </w:r>
    </w:p>
    <w:p>
      <w:pPr>
        <w:keepNext/>
      </w:pPr>
      <w:r>
        <w:rPr>
          <w:b/>
        </w:rPr>
        <w:t>Table S2.3 Joint results under explicitly declared interpretation packages, 58 pairs</w:t>
      </w:r>
    </w:p>
    <w:tbl>
      <w:tblPr>
        <w:tblW w:type="auto" w:w="0"/>
        <w:jc w:val="center"/>
        <w:tblLayout w:type="fixed"/>
        <w:tblLook w:firstColumn="1" w:firstRow="1" w:lastColumn="0" w:lastRow="0" w:noHBand="0" w:noVBand="1" w:val="04A0"/>
        <w:tblBorders>
          <w:top w:val="single" w:sz="7" w:color="404040"/>
          <w:bottom w:val="single" w:sz="7" w:color="404040"/>
          <w:left w:val="nil" w:sz="0" w:color="404040"/>
          <w:right w:val="nil" w:sz="0" w:color="404040"/>
          <w:insideH w:val="nil" w:sz="0" w:color="404040"/>
          <w:insideV w:val="nil" w:sz="0" w:color="404040"/>
        </w:tblBorders>
        <w:tblLayout w:type="fixed"/>
      </w:tblPr>
      <w:tblGrid>
        <w:gridCol w:w="6034"/>
        <w:gridCol w:w="1382"/>
        <w:gridCol w:w="1152"/>
        <w:gridCol w:w="1152"/>
      </w:tblGrid>
      <w:tr>
        <w:trPr>
          <w:cantSplit/>
          <w:tblHeader/>
        </w:trPr>
        <w:tc>
          <w:tcPr>
            <w:tcW w:type="dxa" w:w="6034"/>
            <w:vAlign w:val="center"/>
            <w:tcBorders>
              <w:bottom w:val="single" w:sz="5" w:color="404040"/>
            </w:tcBorders>
          </w:tcPr>
          <w:p>
            <w:pPr>
              <w:keepNext/>
              <w:spacing w:after="80" w:before="80" w:line="252" w:lineRule="auto"/>
            </w:pPr>
            <w:r>
              <w:rPr>
                <w:rFonts w:ascii="Arial" w:hAnsi="Arial"/>
                <w:b/>
                <w:sz w:val="19"/>
              </w:rPr>
              <w:t>Package</w:t>
            </w:r>
          </w:p>
        </w:tc>
        <w:tc>
          <w:tcPr>
            <w:tcW w:type="dxa" w:w="1382"/>
            <w:vAlign w:val="center"/>
            <w:tcBorders>
              <w:bottom w:val="single" w:sz="5" w:color="404040"/>
            </w:tcBorders>
          </w:tcPr>
          <w:p>
            <w:pPr>
              <w:keepNext/>
              <w:spacing w:after="80" w:before="80" w:line="252" w:lineRule="auto"/>
            </w:pPr>
            <w:r>
              <w:rPr>
                <w:rFonts w:ascii="Arial" w:hAnsi="Arial"/>
                <w:b/>
                <w:sz w:val="19"/>
              </w:rPr>
              <w:t>Supported</w:t>
            </w:r>
          </w:p>
        </w:tc>
        <w:tc>
          <w:tcPr>
            <w:tcW w:type="dxa" w:w="1152"/>
            <w:vAlign w:val="center"/>
            <w:tcBorders>
              <w:bottom w:val="single" w:sz="5" w:color="404040"/>
            </w:tcBorders>
          </w:tcPr>
          <w:p>
            <w:pPr>
              <w:keepNext/>
              <w:spacing w:after="80" w:before="80" w:line="252" w:lineRule="auto"/>
            </w:pPr>
            <w:r>
              <w:rPr>
                <w:rFonts w:ascii="Arial" w:hAnsi="Arial"/>
                <w:b/>
                <w:sz w:val="19"/>
              </w:rPr>
              <w:t>Refuted</w:t>
            </w:r>
          </w:p>
        </w:tc>
        <w:tc>
          <w:tcPr>
            <w:tcW w:type="dxa" w:w="1152"/>
            <w:vAlign w:val="center"/>
            <w:tcBorders>
              <w:bottom w:val="single" w:sz="5" w:color="404040"/>
            </w:tcBorders>
          </w:tcPr>
          <w:p>
            <w:pPr>
              <w:keepNext/>
              <w:spacing w:after="80" w:before="80" w:line="252" w:lineRule="auto"/>
            </w:pPr>
            <w:r>
              <w:rPr>
                <w:rFonts w:ascii="Arial" w:hAnsi="Arial"/>
                <w:b/>
                <w:sz w:val="19"/>
              </w:rPr>
              <w:t>Unknown</w:t>
            </w:r>
          </w:p>
        </w:tc>
      </w:tr>
      <w:tr>
        <w:trPr>
          <w:cantSplit/>
        </w:trPr>
        <w:tc>
          <w:tcPr>
            <w:tcW w:type="dxa" w:w="6034"/>
            <w:vAlign w:val="center"/>
          </w:tcPr>
          <w:p>
            <w:pPr>
              <w:spacing w:after="80" w:before="80" w:line="252" w:lineRule="auto"/>
            </w:pPr>
            <w:r>
              <w:rPr>
                <w:rFonts w:ascii="Arial" w:hAnsi="Arial"/>
                <w:sz w:val="19"/>
              </w:rPr>
              <w:t>Withhold optional interpretations</w:t>
            </w:r>
          </w:p>
        </w:tc>
        <w:tc>
          <w:tcPr>
            <w:tcW w:type="dxa" w:w="1382"/>
            <w:vAlign w:val="center"/>
          </w:tcPr>
          <w:p>
            <w:pPr>
              <w:spacing w:after="80" w:before="80" w:line="252" w:lineRule="auto"/>
            </w:pPr>
            <w:r>
              <w:rPr>
                <w:rFonts w:ascii="Arial" w:hAnsi="Arial"/>
                <w:sz w:val="19"/>
              </w:rPr>
              <w:t>10</w:t>
            </w:r>
          </w:p>
        </w:tc>
        <w:tc>
          <w:tcPr>
            <w:tcW w:type="dxa" w:w="1152"/>
            <w:vAlign w:val="center"/>
          </w:tcPr>
          <w:p>
            <w:pPr>
              <w:spacing w:after="80" w:before="80" w:line="252" w:lineRule="auto"/>
            </w:pPr>
            <w:r>
              <w:rPr>
                <w:rFonts w:ascii="Arial" w:hAnsi="Arial"/>
                <w:sz w:val="19"/>
              </w:rPr>
              <w:t>3</w:t>
            </w:r>
          </w:p>
        </w:tc>
        <w:tc>
          <w:tcPr>
            <w:tcW w:type="dxa" w:w="1152"/>
            <w:vAlign w:val="center"/>
          </w:tcPr>
          <w:p>
            <w:pPr>
              <w:spacing w:after="80" w:before="80" w:line="252" w:lineRule="auto"/>
            </w:pPr>
            <w:r>
              <w:rPr>
                <w:rFonts w:ascii="Arial" w:hAnsi="Arial"/>
                <w:sz w:val="19"/>
              </w:rPr>
              <w:t>45</w:t>
            </w:r>
          </w:p>
        </w:tc>
      </w:tr>
      <w:tr>
        <w:trPr>
          <w:cantSplit/>
        </w:trPr>
        <w:tc>
          <w:tcPr>
            <w:tcW w:type="dxa" w:w="6034"/>
            <w:vAlign w:val="center"/>
          </w:tcPr>
          <w:p>
            <w:pPr>
              <w:spacing w:after="80" w:before="80" w:line="252" w:lineRule="auto"/>
            </w:pPr>
            <w:r>
              <w:rPr>
                <w:rFonts w:ascii="Arial" w:hAnsi="Arial"/>
                <w:sz w:val="19"/>
              </w:rPr>
              <w:t>Declared technical scope, laboratory priority and peak power</w:t>
            </w:r>
          </w:p>
        </w:tc>
        <w:tc>
          <w:tcPr>
            <w:tcW w:type="dxa" w:w="1382"/>
            <w:vAlign w:val="center"/>
          </w:tcPr>
          <w:p>
            <w:pPr>
              <w:spacing w:after="80" w:before="80" w:line="252" w:lineRule="auto"/>
            </w:pPr>
            <w:r>
              <w:rPr>
                <w:rFonts w:ascii="Arial" w:hAnsi="Arial"/>
                <w:sz w:val="19"/>
              </w:rPr>
              <w:t>17</w:t>
            </w:r>
          </w:p>
        </w:tc>
        <w:tc>
          <w:tcPr>
            <w:tcW w:type="dxa" w:w="1152"/>
            <w:vAlign w:val="center"/>
          </w:tcPr>
          <w:p>
            <w:pPr>
              <w:spacing w:after="80" w:before="80" w:line="252" w:lineRule="auto"/>
            </w:pPr>
            <w:r>
              <w:rPr>
                <w:rFonts w:ascii="Arial" w:hAnsi="Arial"/>
                <w:sz w:val="19"/>
              </w:rPr>
              <w:t>8</w:t>
            </w:r>
          </w:p>
        </w:tc>
        <w:tc>
          <w:tcPr>
            <w:tcW w:type="dxa" w:w="1152"/>
            <w:vAlign w:val="center"/>
          </w:tcPr>
          <w:p>
            <w:pPr>
              <w:spacing w:after="80" w:before="80" w:line="252" w:lineRule="auto"/>
            </w:pPr>
            <w:r>
              <w:rPr>
                <w:rFonts w:ascii="Arial" w:hAnsi="Arial"/>
                <w:sz w:val="19"/>
              </w:rPr>
              <w:t>33</w:t>
            </w:r>
          </w:p>
        </w:tc>
      </w:tr>
      <w:tr>
        <w:trPr>
          <w:cantSplit/>
        </w:trPr>
        <w:tc>
          <w:tcPr>
            <w:tcW w:type="dxa" w:w="6034"/>
            <w:vAlign w:val="center"/>
          </w:tcPr>
          <w:p>
            <w:pPr>
              <w:spacing w:after="80" w:before="80" w:line="252" w:lineRule="auto"/>
            </w:pPr>
            <w:r>
              <w:rPr>
                <w:rFonts w:ascii="Arial" w:hAnsi="Arial"/>
                <w:sz w:val="19"/>
              </w:rPr>
              <w:t>Alternative material/use scope, party priority and nominal power</w:t>
            </w:r>
          </w:p>
        </w:tc>
        <w:tc>
          <w:tcPr>
            <w:tcW w:type="dxa" w:w="1382"/>
            <w:vAlign w:val="center"/>
          </w:tcPr>
          <w:p>
            <w:pPr>
              <w:spacing w:after="80" w:before="80" w:line="252" w:lineRule="auto"/>
            </w:pPr>
            <w:r>
              <w:rPr>
                <w:rFonts w:ascii="Arial" w:hAnsi="Arial"/>
                <w:sz w:val="19"/>
              </w:rPr>
              <w:t>19</w:t>
            </w:r>
          </w:p>
        </w:tc>
        <w:tc>
          <w:tcPr>
            <w:tcW w:type="dxa" w:w="1152"/>
            <w:vAlign w:val="center"/>
          </w:tcPr>
          <w:p>
            <w:pPr>
              <w:spacing w:after="80" w:before="80" w:line="252" w:lineRule="auto"/>
            </w:pPr>
            <w:r>
              <w:rPr>
                <w:rFonts w:ascii="Arial" w:hAnsi="Arial"/>
                <w:sz w:val="19"/>
              </w:rPr>
              <w:t>5</w:t>
            </w:r>
          </w:p>
        </w:tc>
        <w:tc>
          <w:tcPr>
            <w:tcW w:type="dxa" w:w="1152"/>
            <w:vAlign w:val="center"/>
          </w:tcPr>
          <w:p>
            <w:pPr>
              <w:spacing w:after="80" w:before="80" w:line="252" w:lineRule="auto"/>
            </w:pPr>
            <w:r>
              <w:rPr>
                <w:rFonts w:ascii="Arial" w:hAnsi="Arial"/>
                <w:sz w:val="19"/>
              </w:rPr>
              <w:t>34</w:t>
            </w:r>
          </w:p>
        </w:tc>
      </w:tr>
    </w:tbl>
    <w:p>
      <w:pPr>
        <w:spacing w:after="20"/>
      </w:pPr>
    </w:p>
    <w:p>
      <w:r>
        <w:t>The second package accepts specified technical and use mappings, conducting-core material scope, laboratory priority for glove composition and peak motor output. The third changes selected material and use mappings, glove-source priority and rating basis. These are diagnostic packages, not authoritative legal doctrines. The same file supports a narrower tabulation restricted to the 40 safe conjunctions inside the 47 historically unknown pairs. Within that subset the technical package moves 7 cases out of unknown (2 to support, 5 to refute) and the alternative package moves 6 (4 to support, 2 to refute), leaving 33 and 34 unresolved respectively. Across locally enumerated options, the marginal count envelopes are 10–20 supported, 3–9 refuted and 33–45 unknown pairs. They do not constitute one jointly attainable result, probabilities, or the range of all reasonable legal interpretations. Shared legal terms cannot be presumed independently redefinable by case.</w:t>
      </w:r>
    </w:p>
    <w:p>
      <w:pPr>
        <w:pStyle w:val="Heading2"/>
      </w:pPr>
      <w:r>
        <w:t>S2.6 Five traceable evidence chains</w:t>
      </w:r>
    </w:p>
    <w:p>
      <w:r>
        <w:t xml:space="preserve">The complete chains in </w:t>
      </w:r>
      <w:r>
        <w:rPr>
          <w:rFonts w:ascii="Consolas" w:hAnsi="Consolas"/>
          <w:sz w:val="18"/>
        </w:rPr>
        <w:t>source_audit/case_chains.json</w:t>
      </w:r>
      <w:r>
        <w:t xml:space="preserve"> include every condition, admitted quote and locator for the following five rulings.</w:t>
      </w:r>
    </w:p>
    <w:p>
      <w:r/>
      <w:r>
        <w:rPr>
          <w:b/>
          <w:i w:val="0"/>
        </w:rPr>
        <w:t>H330938.</w:t>
      </w:r>
      <w:r>
        <w:t xml:space="preserve"> The analytical paragraph beginning “Lastly, the submitted documentation” explicitly supplies connector absence. This corrects the earlier claim that the complete ruling lacked connector-specific evidence. Monopolar topology and the aluminum-core/copper-shield distinction remain separate interpretive switches; resolving c4 does not resolve them.</w:t>
      </w:r>
    </w:p>
    <w:p>
      <w:r/>
      <w:r>
        <w:rPr>
          <w:b/>
          <w:i w:val="0"/>
        </w:rPr>
        <w:t>H318593.</w:t>
      </w:r>
      <w:r>
        <w:t xml:space="preserve"> The product-description paragraph gives dimensions of 61 × 30.2 × 15.2 cm “exclusive of handle.” It cannot establish the unqualified complete-article ceiling in H318593_1. The same paragraph gives a 6,000 lb lifting capacity, approximately 2,721.55 kg, which directly contradicts the separate 550 kg ceiling in H318593_2. Article dimensions, article mass and supported load are distinct attributes.</w:t>
      </w:r>
    </w:p>
    <w:p>
      <w:r/>
      <w:r>
        <w:rPr>
          <w:b/>
          <w:i w:val="0"/>
        </w:rPr>
        <w:t>N311039.</w:t>
      </w:r>
      <w:r>
        <w:t xml:space="preserve"> Separate product paragraphs locate coil/contact voltage alternatives of 12/277, 110/277, 48/277 and 48/277 V. The coil ratings are AC for the first product and DC for the other three; contact ratings are AC. Products one, three and four fail the interval (60, 250] V under either rating-role interpretation. Under the declared all-listed-products quantifier, the condition is refuted without pooling values into an uncertainty interval. Contact ratings of 30, 40, 40 and 40 A independently satisfy the current threshold.</w:t>
      </w:r>
    </w:p>
    <w:p>
      <w:r/>
      <w:r>
        <w:rPr>
          <w:b/>
          <w:i w:val="0"/>
        </w:rPr>
        <w:t>H333371.</w:t>
      </w:r>
      <w:r>
        <w:t xml:space="preserve"> The party-composition and laboratory-report passages respectively give 48% and approximately 76% textile content. Both are visible. Source restoration cannot resolve their conflict; the competing priority policies remain explicit.</w:t>
      </w:r>
    </w:p>
    <w:p>
      <w:r/>
      <w:r>
        <w:rPr>
          <w:b/>
          <w:i w:val="0"/>
        </w:rPr>
        <w:t>H333673.</w:t>
      </w:r>
      <w:r>
        <w:t xml:space="preserve"> Component descriptions and the analytical sentence beginning “Out of the four ancillary sensors” identify passive infrared light-switching functionality in the front-light sensor. They do not settle whether the exclusion requires one qualifying component or a universal apparatus-level property. The audit therefore preserves the unresolved quantifier instead of silently requiring every component to qualify.</w:t>
      </w:r>
    </w:p>
    <w:p>
      <w:pPr>
        <w:pStyle w:val="Heading2"/>
      </w:pPr>
      <w:r>
        <w:t>S2.7 Validation boundary</w:t>
      </w:r>
    </w:p>
    <w:p>
      <w:r>
        <w:t>The annotations and this audit are AI assisted, without independent human or domain-expert validation. The auditors had prior exposure to administrative outcomes and earlier project materials; this is not a new blind annotation. Outcomes were not criteria for selecting evidence states or interpretation packages. Shared model lineage permits shared semantic errors despite successful mechanical checks. The contribution of these records is inspectability and recalculation: readers can contest a quoted relation, change a declared mapping or withhold an assertion while preserving its source and annotation history.</w:t>
      </w:r>
    </w:p>
    <w:p>
      <w:pPr>
        <w:pStyle w:val="Heading1"/>
      </w:pPr>
      <w:r>
        <w:t>S3 Structure and coverage of the exclusion inventory</w:t>
      </w:r>
    </w:p>
    <w:p>
      <w:pPr>
        <w:pStyle w:val="Heading2"/>
      </w:pPr>
      <w:r>
        <w:t>S3.1 Inventory identity and purpose</w:t>
      </w:r>
    </w:p>
    <w:p>
      <w:r>
        <w:t>The inventory contains 397 entries transcribed from a USTR index dated 17 January 2024. Its purpose is to document the range of structures present in that version and the limited intersection between the index and the historical ruling collection. It is not a sampling frame for every exclusion previously issued, a current list of legally effective exclusions, or a replacement for the candidate wording quoted in an individual ruling. The original transcription is preserved. Each audit record retains its index, rule identifier, aliases, tariff code, source wording, version and source locator. An alias or similar description is treated as a retrieval lead unless the specified matching criterion is satisfied.</w:t>
      </w:r>
    </w:p>
    <w:p>
      <w:r>
        <w:t>All inventory indices below refer to the zero-based JSON field, from 0 to 396, rather than PDF row numbers; index 13 is therefore the fourteenth inventory record. Rule identifiers remain the primary legal-source locators.</w:t>
      </w:r>
    </w:p>
    <w:p>
      <w:r>
        <w:t>The format distinction is consequential. There are 41 single-code entries, two entries containing date-dependent code transitions, and 354 product descriptions. A code-only entry has no additional product-description groups in this inventory, but it still has a classification gate and, where stated, a date branch. Its group count of zero therefore does not mean that no legal requirements apply. Conversely, the presence of a product description does not establish that its requirements are difficult, quantitative or fully specified.</w:t>
      </w:r>
    </w:p>
    <w:p>
      <w:pPr>
        <w:pStyle w:val="Heading2"/>
      </w:pPr>
      <w:r>
        <w:t>S3.2 Reading procedure and representational granularity</w:t>
      </w:r>
    </w:p>
    <w:p>
      <w:r>
        <w:t>Every entry was read individually by an AI research agent. The resulting silver annotations record the target level, such as article, component or assembly; visible alternatives and exceptions; measurement attributes; and references requiring external definitions. The record also separates surface structure from unresolved interpretation. Explicit row-level choices and source hashes are retained, rather than inferring a completed semantic review from a successful parser run. No legal professional independently validated these inventory labels.</w:t>
      </w:r>
    </w:p>
    <w:p>
      <w:r>
        <w:t>A second pass selected exact source-anchored coarse requirement groups for all 354 product descriptions. Thirty initial readings used explicitly selected quotations; the remaining 324 used individually specified start anchors in the original wording. This produced 1,096 groups. The anchors were chosen after reading each scope and were not generated by counting punctuation or conjunction words. Each group has a literal quotation and character offsets. All 397 entries have a recorded coarse group count, including the 43 code-only records with a separately represented taxonomic or temporal gate.</w:t>
      </w:r>
    </w:p>
    <w:p>
      <w:r>
        <w:t>The counting convention intentionally stops above the level of atomic legal predicates. Product categories, materials, functions, physical configurations and measurement requirements can form separate groups. A categorical alternative, constituent inventory, dimension vector for one object, or conditionally applicable standard may remain within one group. Optional modifiers can remain in that group's wording without becoming positive requirements. Across groups the reading is conjunctive, but internal alternatives, exclusions and guards retain their original scope. For example, a component list containing a burner and a stand is not counted as two independent products. This convention makes the source reading inspectable; it does not assign an ontology-independent number of necessary conditions.</w:t>
      </w:r>
    </w:p>
    <w:p>
      <w:r>
        <w:t>Atomic condition counts, fully resolved external definitions and complete formal quantifier representations are consequently not asserted. The 1,096 total describes this particular coarse representation and should not be interpreted as a legal complexity score. It also should not be compared directly with the 208 historical condition units, which were constructed for a different collection and purpose. Inspecting the quoted groups is more informative than comparing their counts without regard to what each group contains.</w:t>
      </w:r>
    </w:p>
    <w:p>
      <w:pPr>
        <w:pStyle w:val="Heading2"/>
      </w:pPr>
      <w:r>
        <w:t>S3.3 Object and logical scope</w:t>
      </w:r>
    </w:p>
    <w:p>
      <w:r>
        <w:t>Several entries illustrate why a numerical or lexical inventory would be insufficient. The die description at index 13 limits the width or length of the sheets being processed, rather than the dimensions of the die. The alternative is retained as stated. At index 95, the motor's outside diameter, housing length and shaft length concern different objects. At index 145, input voltage and frequency are distinguished from two alternative output voltages; combining these values into a single interval would erase their roles.</w:t>
      </w:r>
    </w:p>
    <w:p>
      <w:r>
        <w:t>Other requirements concern composition or conditional application. The trailer description at index 189 attaches compliance with ASTM F1975 to trailers designated for carrying children. It is not an unconditional requirement for every trailer. Index 195 combines three wind cups with bearings, a fan and one or more solar panels. Index 216 assigns different dimensions to two separate liner pieces. Index 218 constrains the reel carrying a lighting strip, rather than the strip itself. Index 338 uses shape-dependent dimensions for rectangular and circular tracking devices alongside shared thickness and mass limits. These readings preserve the relationships that a later executable representation would need to justify.</w:t>
      </w:r>
    </w:p>
    <w:p>
      <w:r>
        <w:t>External identifiers require a different treatment. DIN 42802 identifies a connector standard, while the FDA Class 1 and NNI references describe a regulatory status. Their digits are not measurement thresholds. Similarly, a stated weighing capacity cannot substitute for an article's own mass. Preserving these distinctions helps identify what evidence or incorporated definitions an applicability review would need, without claiming that the inventory itself supplies them.</w:t>
      </w:r>
    </w:p>
    <w:p>
      <w:pPr>
        <w:pStyle w:val="Heading2"/>
      </w:pPr>
      <w:r>
        <w:t>S3.4 Ambiguities and mechanical checks</w:t>
      </w:r>
    </w:p>
    <w:p>
      <w:r>
        <w:t>Thirteen entries have an explicit unresolved marker for an interpretive, binding or source issue. This is a recorded review outcome, not an exhaustive estimate of ambiguity prevalence. Examples include an unclear attachment of a weight limit, an unspecified concentration basis, and a shaft measurement whose dimensional role is not named. The shelving entry at index 211 states an upper width of 183 m. The same wording was confirmed in the official PDF; it was preserved rather than silently changed to centimetres. The fireplace entry at index 155 states 5,000 BTUs without an explicit hourly basis, so the audit does not automatically treat it as power.</w:t>
      </w:r>
    </w:p>
    <w:p>
      <w:r>
        <w:t>Mechanical validation checked 3,260 exact source spans across retrieval candidates, structural markers, coarse groups and code/date gates. It also verified record identity, source hashes and coverage links. These checks establish correspondence to the retained source, not semantic correctness or the validity of an external legal interpretation. In particular, a group can be accurately quoted while its object binding remains unresolved.</w:t>
      </w:r>
    </w:p>
    <w:p>
      <w:pPr>
        <w:pStyle w:val="Heading2"/>
      </w:pPr>
      <w:r>
        <w:t>S3.5 Coverage of the ruling collection</w:t>
      </w:r>
    </w:p>
    <w:p>
      <w:r>
        <w:t>Conservative normalized description matching linked 21 of the 86 product–exclusion pairs to 16 distinct index entries. Sixteen matched pairs belong to the 73-pair compatible-code collection. Recorded note aliases linked 11 cases and 11 entries, all within that textual intersection. Unconfirmed similar descriptions were retained separately and were not counted as matches.</w:t>
      </w:r>
    </w:p>
    <w:p>
      <w:r>
        <w:t>Thus the confirmed intersection is 16 of 397 inventory entries, not a demonstration of model coverage across the full index. Matching also does not establish historical version equivalence. The inventory supports a transparent account of representational variety and coverage limits, while the ruling-specific clause remains the source for each historical applicability audit.</w:t>
      </w:r>
    </w:p>
    <w:p>
      <w:pPr>
        <w:pStyle w:val="Heading1"/>
      </w:pPr>
      <w:r>
        <w:t>S4 Qualified interfaces and controlled evidence auditing</w:t>
      </w:r>
    </w:p>
    <w:p>
      <w:pPr>
        <w:pStyle w:val="Heading2"/>
      </w:pPr>
      <w:r>
        <w:t>S4.1 Scope and independent protocol qualification</w:t>
      </w:r>
    </w:p>
    <w:p>
      <w:r>
        <w:t>This revision evaluates evidence state z rather than administrative disposition y. A condition is supported when the supplied facts establish it, refuted when they contradict it, and unknown when neither relation is established. Unknown is therefore an input-evidence state, not a negative legal ruling. The task supplies the relevant condition representation and tests evidence tracking, justified follow-up and three-valued aggregation. It does not evaluate discovery of every legal prerequisite or complete autonomous interpretation of an exclusion.</w:t>
      </w:r>
    </w:p>
    <w:p>
      <w:r>
        <w:t>The configuration was developed and qualified on ordinary-object examples separate from the customs materials. Four development inputs tested a green bead with positive, contradictory and missing color evidence, and an opaque tube whose weight was unstated. These inputs contained five conditions. The frozen qualification set contained 24 inputs and 27 conditions: direct material and shape attributes, strict and interval bounds, connector negation, frame-versus-screw object binding, net-versus-gross measurement basis, and conjunctions with decisive contradiction or missing evidence. Qualification had eight supported, eight refuted and eight unknown whole-input states.</w:t>
      </w:r>
    </w:p>
    <w:p>
      <w:r>
        <w:t>The model order was fixed as Qwen3-14B Q4_K_M followed, only if necessary, by Granite-3.3-8B Q4_K_M. A configuration had to achieve at least 23/24 correct whole-input decisions, no invalid, incomplete or truncated output, no unsupported affirmative decision, and correct decisive refutation in the presence of another unknown condition. The checklist additionally had to achieve at least 95% condition-state agreement and request nothing after that decisive refutation. Direct output has no condition or request fields, so corresponding checklist-only thresholds were not imputed to it. Qwen3-14B satisfied the fixed gate; the fallback was not needed. No formal customs or controlled diagnostic outcome selected the checkpoint or prompt.</w:t>
      </w:r>
    </w:p>
    <w:p>
      <w:r>
        <w:t>Both direct and checklist interfaces obtained 4/4 development decisions; the checklist obtained 5/5 condition states. Both obtained 24/24 qualification decisions, and the checklist obtained 27/27 condition states. All qualification outputs were structurally valid and complete, with no truncation or unsupported affirmative case decision. Qualification nevertheless revealed a follow-up failure. In Q_negation_3, the lead was required to have no connectors, while the only fact gave its length as 4 m. The checklist correctly marked connector absence and the whole input unknown but returned an empty request list. It therefore retrieved seven of eight necessary qualification requests, with no unnecessary request, and matched 23/24 exact request sets. General request recall was not a frozen acceptance threshold; this failure was retained rather than used to revise the prompt after qualification. Passing these limited checks does not establish legal competence.</w:t>
      </w:r>
    </w:p>
    <w:p>
      <w:pPr>
        <w:pStyle w:val="Heading2"/>
      </w:pPr>
      <w:r>
        <w:t>S4.2 Local configuration and inference controls</w:t>
      </w:r>
    </w:p>
    <w:p>
      <w:r>
        <w:t>Inference used the publisher-provided Qwen3-14B-GGUF checkpoint, file Qwen3-14B-Q4_K_M.gguf, with its pinned repository revision and verified official weight digest retained in the external manifest. The local llama.cpp server reported version 0.6.0-dev, build 11516, built with Clang 20.1.8 for Windows x86_64. The runner used Python 3.12.10 on an AMD Ryzen 9 8945HS host with eight physical cores, sixteen logical processors and approximately 32 GB installed memory. No GPU layers were offloaded. Six threads were used for both prefill and inference, with one parallel sequence, context length 4096, logical batch 512 and physical microbatch 128. Memory mapping remained enabled without memory locking; a 6 GiB available-memory preflight was applied before loading. These resource choices were made before formal inference.</w:t>
      </w:r>
    </w:p>
    <w:p>
      <w:r>
        <w:t>The native chat template was rendered through the server with thinking disabled. Requests used temperature 0, seed 20261023, repetition penalty 1.0 and prompt caching disabled. Native-template prompts, request parameters and full responses are retained. Direct generation was capped at 48 tokens; checklist generation was capped at min(1024, 192 + 64m), where m is the supplied condition count. The runner rejected a request before inference if its input-token count plus output allowance exceeded 4096. It did not silently shorten inputs. Differences in output allowance reflect the different requested record sizes and are not presented as matched generation costs.</w:t>
      </w:r>
    </w:p>
    <w:p>
      <w:r>
        <w:t>All reported seconds are wall-clock elapsed times for CPU-only execution with six inference threads, not summed CPU-core time. The shared host load was uncontrolled; external CPU competition occurred during formal checklist inference, and the frozen inference settings were retained. These measurements document the actual run and cannot support a fair efficiency ranking against earlier models or an isolated speed comparison.</w:t>
      </w:r>
    </w:p>
    <w:p>
      <w:r>
        <w:t>JSON-constrained decoding restricted keys, state vocabulary, candidate condition IDs, candidate fact IDs and maximum array lengths. The grammar did not choose the correct state, factual entailment, complete condition coverage, appropriate request or evidence justification. Duplicate condition IDs and request IDs, unexpected keys, unknown IDs and wrong field types were checked separately; missing condition coverage was retained as an incomplete record. Invalid or incomplete records were not reclassified as semantically unknown. Unknown states were instructed to have an empty evidence list, so this deliberately concise interface does not represent competing claims or partially supporting evidence within an unresolved condition. Such source ambiguity is documented in the source audit rather than claimed solved here.</w:t>
      </w:r>
    </w:p>
    <w:p>
      <w:r>
        <w:t>All model inputs were constructed from a whitelist of target, rule text, numbered facts and, for the checklist, numbered requirements. Expected states, requested reference IDs, source-family identifiers and administrative outcomes were withheld. Final integrity checks reconstruct each submitted user prompt and require exact agreement with the stored prompt. The archive includes the complete dynamic JSON schemas, rendered templates, raw responses, token counts and cap indicators; the lengthy schemas need not be reproduced in full here.</w:t>
      </w:r>
    </w:p>
    <w:p>
      <w:pPr>
        <w:pStyle w:val="Heading2"/>
      </w:pPr>
      <w:r>
        <w:t>S4.3 Exact natural-language instructions</w:t>
      </w:r>
    </w:p>
    <w:p>
      <w:r>
        <w:t>The decision-only interface used the following instruction, followed by an INPUT object containing target, rule_text and facts. Its response schema had one required decision key with values supported, refuted or unknown.</w:t>
      </w:r>
    </w:p>
    <w:p>
      <w:pPr>
        <w:ind w:left="259" w:right="173"/>
      </w:pPr>
      <w:r>
        <w:t>Use only the stated facts to audit the supplied rule for the named target. All rule conditions are mandatory unless an explicit alternative is given. Return supported only if the facts establish all mandatory requirements; refuted if a stated fact contradicts a mandatory requirement; otherwise unknown. One decisive contradiction remains refuted even when other facts are missing. Silence is not negation. Keep each value or attribute attached to its product, component and measurement basis. Do not infer facts from product names. Return only {"decision":"supported"}, {"decision":"refuted"}, or {"decision":"unknown"}.</w:t>
      </w:r>
    </w:p>
    <w:p>
      <w:r>
        <w:t>The checklist interface used the following complete instruction, followed by an INPUT object containing target, rule_text, conditions and facts. A JSON FORMAT object listed each supplied condition ID with a supported|refuted|unknown placeholder and an empty evidence array, followed by a decision placeholder and an empty requests array. These placeholders specified the output schema and did not contain reference states.</w:t>
      </w:r>
    </w:p>
    <w:p>
      <w:pPr>
        <w:ind w:left="259" w:right="173"/>
      </w:pPr>
      <w:r>
        <w:t>Audit whether the numbered facts establish the numbered requirements for the specified target. Use only these facts, not likely properties or background expectations. A requirement can be negative: for "no connectors", explicit absence supports it, explicit presence refutes it, and silence leaves it unknown.</w:t>
      </w:r>
    </w:p>
    <w:p>
      <w:pPr>
        <w:ind w:left="259" w:right="173"/>
      </w:pPr>
      <w:r>
        <w:t>For each requirement return supported if the facts establish it, refuted if the facts explicitly contradict it, and unknown if neither. Keep attributes attached to the named product, component, operating state, and measurement basis. Facts about a different object do not establish or contradict the target requirement. Do not convert a model identifier into a physical value. Evidence must be a list of supplied fact IDs; unknown has an empty list.</w:t>
      </w:r>
    </w:p>
    <w:p>
      <w:pPr>
        <w:ind w:left="259" w:right="173"/>
      </w:pPr>
      <w:r>
        <w:t>The decision is refuted when ANY mandatory requirement is refuted, even if another requirement is unknown. Otherwise it is supported only when ALL requirements are supported, and unknown otherwise. Request the IDs of unknown requirements only when the decision is unknown. Request nothing after a decisive refutation, and do not request an already established property. The supplied checklist is conjunctive; it is a provided task input, not a hidden answer.</w:t>
      </w:r>
    </w:p>
    <w:p>
      <w:pPr>
        <w:ind w:left="259" w:right="173"/>
      </w:pPr>
      <w:r>
        <w:t>Return only the JSON object specified below. There is no need to explain the answer outside that object.</w:t>
      </w:r>
    </w:p>
    <w:p>
      <w:r>
        <w:t>The deterministic comparison applies only to the returned condition states: any mandatory refutation yields refuted; otherwise all supported conditions yield supported; otherwise the state is unknown. This operation does not certify the model’s evidence. Model whole-input state, deterministic aggregate, condition states, citations and requests are scored separately. A missing unknown prerequisite and an omitted schema field are different errors: the former is a substantive evidence/request failure, while the latter is an interface-completeness failure.</w:t>
      </w:r>
    </w:p>
    <w:p>
      <w:pPr>
        <w:pStyle w:val="Heading2"/>
      </w:pPr>
      <w:r>
        <w:t>S4.4 Formal controlled inputs and paired functions</w:t>
      </w:r>
    </w:p>
    <w:p>
      <w:r>
        <w:t>The controlled diagnostic contains 108 distinct inputs, 216 supplied conditions and twelve source families. Each family uses two explicitly supplied conditions derived from selected exclusion-clause fragments. These are artificial clauses, not the complete legal exclusions. Both interfaces receive the same complete clause meaning and identical target and facts. The checklist duplicates that meaning as condition IDs and requirements and requests a richer output. The comparison therefore changes representation, instruction and requested output jointly; it does not isolate the effect of deterministic aggregation. In particular, every-granule quantification and the wooden-frame species scope are supplied controlled interpretations, not validated legal interpretations.</w:t>
      </w:r>
    </w:p>
    <w:p>
      <w:pPr>
        <w:keepNext/>
      </w:pPr>
      <w:r>
        <w:rPr>
          <w:b/>
        </w:rPr>
        <w:t>Table S4.1 Source families and selected attributes</w:t>
      </w:r>
    </w:p>
    <w:tbl>
      <w:tblPr>
        <w:tblW w:type="auto" w:w="0"/>
        <w:jc w:val="center"/>
        <w:tblLayout w:type="fixed"/>
        <w:tblLook w:firstColumn="1" w:firstRow="1" w:lastColumn="0" w:lastRow="0" w:noHBand="0" w:noVBand="1" w:val="04A0"/>
        <w:tblBorders>
          <w:top w:val="single" w:sz="7" w:color="404040"/>
          <w:bottom w:val="single" w:sz="7" w:color="404040"/>
          <w:left w:val="nil" w:sz="0" w:color="404040"/>
          <w:right w:val="nil" w:sz="0" w:color="404040"/>
          <w:insideH w:val="nil" w:sz="0" w:color="404040"/>
          <w:insideV w:val="nil" w:sz="0" w:color="404040"/>
        </w:tblBorders>
        <w:tblLayout w:type="fixed"/>
      </w:tblPr>
      <w:tblGrid>
        <w:gridCol w:w="2592"/>
        <w:gridCol w:w="4205"/>
        <w:gridCol w:w="2938"/>
      </w:tblGrid>
      <w:tr>
        <w:trPr>
          <w:cantSplit/>
          <w:tblHeader/>
        </w:trPr>
        <w:tc>
          <w:tcPr>
            <w:tcW w:type="dxa" w:w="2592"/>
            <w:vAlign w:val="center"/>
            <w:tcBorders>
              <w:bottom w:val="single" w:sz="5" w:color="404040"/>
            </w:tcBorders>
          </w:tcPr>
          <w:p>
            <w:pPr>
              <w:keepNext/>
              <w:spacing w:after="80" w:before="80" w:line="252" w:lineRule="auto"/>
            </w:pPr>
            <w:r>
              <w:rPr>
                <w:rFonts w:ascii="Arial" w:hAnsi="Arial"/>
                <w:b/>
                <w:sz w:val="19"/>
              </w:rPr>
              <w:t>Source family</w:t>
            </w:r>
          </w:p>
        </w:tc>
        <w:tc>
          <w:tcPr>
            <w:tcW w:type="dxa" w:w="4205"/>
            <w:vAlign w:val="center"/>
            <w:tcBorders>
              <w:bottom w:val="single" w:sz="5" w:color="404040"/>
            </w:tcBorders>
          </w:tcPr>
          <w:p>
            <w:pPr>
              <w:keepNext/>
              <w:spacing w:after="80" w:before="80" w:line="252" w:lineRule="auto"/>
            </w:pPr>
            <w:r>
              <w:rPr>
                <w:rFonts w:ascii="Arial" w:hAnsi="Arial"/>
                <w:b/>
                <w:sz w:val="19"/>
              </w:rPr>
              <w:t>Principal controlled attribute</w:t>
            </w:r>
          </w:p>
        </w:tc>
        <w:tc>
          <w:tcPr>
            <w:tcW w:type="dxa" w:w="2938"/>
            <w:vAlign w:val="center"/>
            <w:tcBorders>
              <w:bottom w:val="single" w:sz="5" w:color="404040"/>
            </w:tcBorders>
          </w:tcPr>
          <w:p>
            <w:pPr>
              <w:keepNext/>
              <w:spacing w:after="80" w:before="80" w:line="252" w:lineRule="auto"/>
            </w:pPr>
            <w:r>
              <w:rPr>
                <w:rFonts w:ascii="Arial" w:hAnsi="Arial"/>
                <w:b/>
                <w:sz w:val="19"/>
              </w:rPr>
              <w:t>Source ruling/product pair</w:t>
            </w:r>
          </w:p>
        </w:tc>
      </w:tr>
      <w:tr>
        <w:trPr>
          <w:cantSplit/>
        </w:trPr>
        <w:tc>
          <w:tcPr>
            <w:tcW w:type="dxa" w:w="2592"/>
            <w:vAlign w:val="center"/>
          </w:tcPr>
          <w:p>
            <w:pPr>
              <w:spacing w:after="80" w:before="80" w:line="252" w:lineRule="auto"/>
            </w:pPr>
            <w:r>
              <w:rPr>
                <w:rFonts w:ascii="Arial" w:hAnsi="Arial"/>
                <w:sz w:val="19"/>
              </w:rPr>
              <w:t>Connectors</w:t>
            </w:r>
          </w:p>
        </w:tc>
        <w:tc>
          <w:tcPr>
            <w:tcW w:type="dxa" w:w="4205"/>
            <w:vAlign w:val="center"/>
          </w:tcPr>
          <w:p>
            <w:pPr>
              <w:spacing w:after="80" w:before="80" w:line="252" w:lineRule="auto"/>
            </w:pPr>
            <w:r>
              <w:rPr>
                <w:rFonts w:ascii="Arial" w:hAnsi="Arial"/>
                <w:sz w:val="19"/>
              </w:rPr>
              <w:t>Explicit connector absence</w:t>
            </w:r>
          </w:p>
        </w:tc>
        <w:tc>
          <w:tcPr>
            <w:tcW w:type="dxa" w:w="2938"/>
            <w:vAlign w:val="center"/>
          </w:tcPr>
          <w:p>
            <w:pPr>
              <w:spacing w:after="80" w:before="80" w:line="252" w:lineRule="auto"/>
            </w:pPr>
            <w:r>
              <w:rPr>
                <w:rFonts w:ascii="Arial" w:hAnsi="Arial"/>
                <w:sz w:val="19"/>
              </w:rPr>
              <w:t>H330938_1</w:t>
            </w:r>
          </w:p>
        </w:tc>
      </w:tr>
      <w:tr>
        <w:trPr>
          <w:cantSplit/>
        </w:trPr>
        <w:tc>
          <w:tcPr>
            <w:tcW w:type="dxa" w:w="2592"/>
            <w:vAlign w:val="center"/>
          </w:tcPr>
          <w:p>
            <w:pPr>
              <w:spacing w:after="80" w:before="80" w:line="252" w:lineRule="auto"/>
            </w:pPr>
            <w:r>
              <w:rPr>
                <w:rFonts w:ascii="Arial" w:hAnsi="Arial"/>
                <w:sz w:val="19"/>
              </w:rPr>
              <w:t>Lifting capacity</w:t>
            </w:r>
          </w:p>
        </w:tc>
        <w:tc>
          <w:tcPr>
            <w:tcW w:type="dxa" w:w="4205"/>
            <w:vAlign w:val="center"/>
          </w:tcPr>
          <w:p>
            <w:pPr>
              <w:spacing w:after="80" w:before="80" w:line="252" w:lineRule="auto"/>
            </w:pPr>
            <w:r>
              <w:rPr>
                <w:rFonts w:ascii="Arial" w:hAnsi="Arial"/>
                <w:sz w:val="19"/>
              </w:rPr>
              <w:t>At most 550 kg</w:t>
            </w:r>
          </w:p>
        </w:tc>
        <w:tc>
          <w:tcPr>
            <w:tcW w:type="dxa" w:w="2938"/>
            <w:vAlign w:val="center"/>
          </w:tcPr>
          <w:p>
            <w:pPr>
              <w:spacing w:after="80" w:before="80" w:line="252" w:lineRule="auto"/>
            </w:pPr>
            <w:r>
              <w:rPr>
                <w:rFonts w:ascii="Arial" w:hAnsi="Arial"/>
                <w:sz w:val="19"/>
              </w:rPr>
              <w:t>H318593_2</w:t>
            </w:r>
          </w:p>
        </w:tc>
      </w:tr>
      <w:tr>
        <w:trPr>
          <w:cantSplit/>
        </w:trPr>
        <w:tc>
          <w:tcPr>
            <w:tcW w:type="dxa" w:w="2592"/>
            <w:vAlign w:val="center"/>
          </w:tcPr>
          <w:p>
            <w:pPr>
              <w:spacing w:after="80" w:before="80" w:line="252" w:lineRule="auto"/>
            </w:pPr>
            <w:r>
              <w:rPr>
                <w:rFonts w:ascii="Arial" w:hAnsi="Arial"/>
                <w:sz w:val="19"/>
              </w:rPr>
              <w:t>Motor power</w:t>
            </w:r>
          </w:p>
        </w:tc>
        <w:tc>
          <w:tcPr>
            <w:tcW w:type="dxa" w:w="4205"/>
            <w:vAlign w:val="center"/>
          </w:tcPr>
          <w:p>
            <w:pPr>
              <w:spacing w:after="80" w:before="80" w:line="252" w:lineRule="auto"/>
            </w:pPr>
            <w:r>
              <w:rPr>
                <w:rFonts w:ascii="Arial" w:hAnsi="Arial"/>
                <w:sz w:val="19"/>
              </w:rPr>
              <w:t>At most 1500 W</w:t>
            </w:r>
          </w:p>
        </w:tc>
        <w:tc>
          <w:tcPr>
            <w:tcW w:type="dxa" w:w="2938"/>
            <w:vAlign w:val="center"/>
          </w:tcPr>
          <w:p>
            <w:pPr>
              <w:spacing w:after="80" w:before="80" w:line="252" w:lineRule="auto"/>
            </w:pPr>
            <w:r>
              <w:rPr>
                <w:rFonts w:ascii="Arial" w:hAnsi="Arial"/>
                <w:sz w:val="19"/>
              </w:rPr>
              <w:t>H340899_1</w:t>
            </w:r>
          </w:p>
        </w:tc>
      </w:tr>
      <w:tr>
        <w:trPr>
          <w:cantSplit/>
        </w:trPr>
        <w:tc>
          <w:tcPr>
            <w:tcW w:type="dxa" w:w="2592"/>
            <w:vAlign w:val="center"/>
          </w:tcPr>
          <w:p>
            <w:pPr>
              <w:spacing w:after="80" w:before="80" w:line="252" w:lineRule="auto"/>
            </w:pPr>
            <w:r>
              <w:rPr>
                <w:rFonts w:ascii="Arial" w:hAnsi="Arial"/>
                <w:sz w:val="19"/>
              </w:rPr>
              <w:t>Single use</w:t>
            </w:r>
          </w:p>
        </w:tc>
        <w:tc>
          <w:tcPr>
            <w:tcW w:type="dxa" w:w="4205"/>
            <w:vAlign w:val="center"/>
          </w:tcPr>
          <w:p>
            <w:pPr>
              <w:spacing w:after="80" w:before="80" w:line="252" w:lineRule="auto"/>
            </w:pPr>
            <w:r>
              <w:rPr>
                <w:rFonts w:ascii="Arial" w:hAnsi="Arial"/>
                <w:sz w:val="19"/>
              </w:rPr>
              <w:t>Intended for one use</w:t>
            </w:r>
          </w:p>
        </w:tc>
        <w:tc>
          <w:tcPr>
            <w:tcW w:type="dxa" w:w="2938"/>
            <w:vAlign w:val="center"/>
          </w:tcPr>
          <w:p>
            <w:pPr>
              <w:spacing w:after="80" w:before="80" w:line="252" w:lineRule="auto"/>
            </w:pPr>
            <w:r>
              <w:rPr>
                <w:rFonts w:ascii="Arial" w:hAnsi="Arial"/>
                <w:sz w:val="19"/>
              </w:rPr>
              <w:t>N310745</w:t>
            </w:r>
          </w:p>
        </w:tc>
      </w:tr>
      <w:tr>
        <w:trPr>
          <w:cantSplit/>
        </w:trPr>
        <w:tc>
          <w:tcPr>
            <w:tcW w:type="dxa" w:w="2592"/>
            <w:vAlign w:val="center"/>
          </w:tcPr>
          <w:p>
            <w:pPr>
              <w:spacing w:after="80" w:before="80" w:line="252" w:lineRule="auto"/>
            </w:pPr>
            <w:r>
              <w:rPr>
                <w:rFonts w:ascii="Arial" w:hAnsi="Arial"/>
                <w:sz w:val="19"/>
              </w:rPr>
              <w:t>Precious-metal plating</w:t>
            </w:r>
          </w:p>
        </w:tc>
        <w:tc>
          <w:tcPr>
            <w:tcW w:type="dxa" w:w="4205"/>
            <w:vAlign w:val="center"/>
          </w:tcPr>
          <w:p>
            <w:pPr>
              <w:spacing w:after="80" w:before="80" w:line="252" w:lineRule="auto"/>
            </w:pPr>
            <w:r>
              <w:rPr>
                <w:rFonts w:ascii="Arial" w:hAnsi="Arial"/>
                <w:sz w:val="19"/>
              </w:rPr>
              <w:t>No plated article in a set</w:t>
            </w:r>
          </w:p>
        </w:tc>
        <w:tc>
          <w:tcPr>
            <w:tcW w:type="dxa" w:w="2938"/>
            <w:vAlign w:val="center"/>
          </w:tcPr>
          <w:p>
            <w:pPr>
              <w:spacing w:after="80" w:before="80" w:line="252" w:lineRule="auto"/>
            </w:pPr>
            <w:r>
              <w:rPr>
                <w:rFonts w:ascii="Arial" w:hAnsi="Arial"/>
                <w:sz w:val="19"/>
              </w:rPr>
              <w:t>H330005_1</w:t>
            </w:r>
          </w:p>
        </w:tc>
      </w:tr>
      <w:tr>
        <w:trPr>
          <w:cantSplit/>
        </w:trPr>
        <w:tc>
          <w:tcPr>
            <w:tcW w:type="dxa" w:w="2592"/>
            <w:vAlign w:val="center"/>
          </w:tcPr>
          <w:p>
            <w:pPr>
              <w:spacing w:after="80" w:before="80" w:line="252" w:lineRule="auto"/>
            </w:pPr>
            <w:r>
              <w:rPr>
                <w:rFonts w:ascii="Arial" w:hAnsi="Arial"/>
                <w:sz w:val="19"/>
              </w:rPr>
              <w:t>Textile fraction</w:t>
            </w:r>
          </w:p>
        </w:tc>
        <w:tc>
          <w:tcPr>
            <w:tcW w:type="dxa" w:w="4205"/>
            <w:vAlign w:val="center"/>
          </w:tcPr>
          <w:p>
            <w:pPr>
              <w:spacing w:after="80" w:before="80" w:line="252" w:lineRule="auto"/>
            </w:pPr>
            <w:r>
              <w:rPr>
                <w:rFonts w:ascii="Arial" w:hAnsi="Arial"/>
                <w:sz w:val="19"/>
              </w:rPr>
              <w:t>Less than 50% by weight</w:t>
            </w:r>
          </w:p>
        </w:tc>
        <w:tc>
          <w:tcPr>
            <w:tcW w:type="dxa" w:w="2938"/>
            <w:vAlign w:val="center"/>
          </w:tcPr>
          <w:p>
            <w:pPr>
              <w:spacing w:after="80" w:before="80" w:line="252" w:lineRule="auto"/>
            </w:pPr>
            <w:r>
              <w:rPr>
                <w:rFonts w:ascii="Arial" w:hAnsi="Arial"/>
                <w:sz w:val="19"/>
              </w:rPr>
              <w:t>H333371_1</w:t>
            </w:r>
          </w:p>
        </w:tc>
      </w:tr>
      <w:tr>
        <w:trPr>
          <w:cantSplit/>
        </w:trPr>
        <w:tc>
          <w:tcPr>
            <w:tcW w:type="dxa" w:w="2592"/>
            <w:vAlign w:val="center"/>
          </w:tcPr>
          <w:p>
            <w:pPr>
              <w:spacing w:after="80" w:before="80" w:line="252" w:lineRule="auto"/>
            </w:pPr>
            <w:r>
              <w:rPr>
                <w:rFonts w:ascii="Arial" w:hAnsi="Arial"/>
                <w:sz w:val="19"/>
              </w:rPr>
              <w:t>Granule diameter</w:t>
            </w:r>
          </w:p>
        </w:tc>
        <w:tc>
          <w:tcPr>
            <w:tcW w:type="dxa" w:w="4205"/>
            <w:vAlign w:val="center"/>
          </w:tcPr>
          <w:p>
            <w:pPr>
              <w:spacing w:after="80" w:before="80" w:line="252" w:lineRule="auto"/>
            </w:pPr>
            <w:r>
              <w:rPr>
                <w:rFonts w:ascii="Arial" w:hAnsi="Arial"/>
                <w:sz w:val="19"/>
              </w:rPr>
              <w:t>Every granule within the supplied interval</w:t>
            </w:r>
          </w:p>
        </w:tc>
        <w:tc>
          <w:tcPr>
            <w:tcW w:type="dxa" w:w="2938"/>
            <w:vAlign w:val="center"/>
          </w:tcPr>
          <w:p>
            <w:pPr>
              <w:spacing w:after="80" w:before="80" w:line="252" w:lineRule="auto"/>
            </w:pPr>
            <w:r>
              <w:rPr>
                <w:rFonts w:ascii="Arial" w:hAnsi="Arial"/>
                <w:sz w:val="19"/>
              </w:rPr>
              <w:t>H332948_1</w:t>
            </w:r>
          </w:p>
        </w:tc>
      </w:tr>
      <w:tr>
        <w:trPr>
          <w:cantSplit/>
        </w:trPr>
        <w:tc>
          <w:tcPr>
            <w:tcW w:type="dxa" w:w="2592"/>
            <w:vAlign w:val="center"/>
          </w:tcPr>
          <w:p>
            <w:pPr>
              <w:spacing w:after="80" w:before="80" w:line="252" w:lineRule="auto"/>
            </w:pPr>
            <w:r>
              <w:rPr>
                <w:rFonts w:ascii="Arial" w:hAnsi="Arial"/>
                <w:sz w:val="19"/>
              </w:rPr>
              <w:t>Load-instrument mass</w:t>
            </w:r>
          </w:p>
        </w:tc>
        <w:tc>
          <w:tcPr>
            <w:tcW w:type="dxa" w:w="4205"/>
            <w:vAlign w:val="center"/>
          </w:tcPr>
          <w:p>
            <w:pPr>
              <w:spacing w:after="80" w:before="80" w:line="252" w:lineRule="auto"/>
            </w:pPr>
            <w:r>
              <w:rPr>
                <w:rFonts w:ascii="Arial" w:hAnsi="Arial"/>
                <w:sz w:val="19"/>
              </w:rPr>
              <w:t>More than 4 kg and less than 8 kg</w:t>
            </w:r>
          </w:p>
        </w:tc>
        <w:tc>
          <w:tcPr>
            <w:tcW w:type="dxa" w:w="2938"/>
            <w:vAlign w:val="center"/>
          </w:tcPr>
          <w:p>
            <w:pPr>
              <w:spacing w:after="80" w:before="80" w:line="252" w:lineRule="auto"/>
            </w:pPr>
            <w:r>
              <w:rPr>
                <w:rFonts w:ascii="Arial" w:hAnsi="Arial"/>
                <w:sz w:val="19"/>
              </w:rPr>
              <w:t>H316154_1</w:t>
            </w:r>
          </w:p>
        </w:tc>
      </w:tr>
      <w:tr>
        <w:trPr>
          <w:cantSplit/>
        </w:trPr>
        <w:tc>
          <w:tcPr>
            <w:tcW w:type="dxa" w:w="2592"/>
            <w:vAlign w:val="center"/>
          </w:tcPr>
          <w:p>
            <w:pPr>
              <w:spacing w:after="80" w:before="80" w:line="252" w:lineRule="auto"/>
            </w:pPr>
            <w:r>
              <w:rPr>
                <w:rFonts w:ascii="Arial" w:hAnsi="Arial"/>
                <w:sz w:val="19"/>
              </w:rPr>
              <w:t>Electrical power</w:t>
            </w:r>
          </w:p>
        </w:tc>
        <w:tc>
          <w:tcPr>
            <w:tcW w:type="dxa" w:w="4205"/>
            <w:vAlign w:val="center"/>
          </w:tcPr>
          <w:p>
            <w:pPr>
              <w:spacing w:after="80" w:before="80" w:line="252" w:lineRule="auto"/>
            </w:pPr>
            <w:r>
              <w:rPr>
                <w:rFonts w:ascii="Arial" w:hAnsi="Arial"/>
                <w:sz w:val="19"/>
              </w:rPr>
              <w:t>Not electrically powered</w:t>
            </w:r>
          </w:p>
        </w:tc>
        <w:tc>
          <w:tcPr>
            <w:tcW w:type="dxa" w:w="2938"/>
            <w:vAlign w:val="center"/>
          </w:tcPr>
          <w:p>
            <w:pPr>
              <w:spacing w:after="80" w:before="80" w:line="252" w:lineRule="auto"/>
            </w:pPr>
            <w:r>
              <w:rPr>
                <w:rFonts w:ascii="Arial" w:hAnsi="Arial"/>
                <w:sz w:val="19"/>
              </w:rPr>
              <w:t>N303860</w:t>
            </w:r>
          </w:p>
        </w:tc>
      </w:tr>
      <w:tr>
        <w:trPr>
          <w:cantSplit/>
        </w:trPr>
        <w:tc>
          <w:tcPr>
            <w:tcW w:type="dxa" w:w="2592"/>
            <w:vAlign w:val="center"/>
          </w:tcPr>
          <w:p>
            <w:pPr>
              <w:spacing w:after="80" w:before="80" w:line="252" w:lineRule="auto"/>
            </w:pPr>
            <w:r>
              <w:rPr>
                <w:rFonts w:ascii="Arial" w:hAnsi="Arial"/>
                <w:sz w:val="19"/>
              </w:rPr>
              <w:t>Frame species</w:t>
            </w:r>
          </w:p>
        </w:tc>
        <w:tc>
          <w:tcPr>
            <w:tcW w:type="dxa" w:w="4205"/>
            <w:vAlign w:val="center"/>
          </w:tcPr>
          <w:p>
            <w:pPr>
              <w:spacing w:after="80" w:before="80" w:line="252" w:lineRule="auto"/>
            </w:pPr>
            <w:r>
              <w:rPr>
                <w:rFonts w:ascii="Arial" w:hAnsi="Arial"/>
                <w:sz w:val="19"/>
              </w:rPr>
              <w:t>Target frame not made of teak</w:t>
            </w:r>
          </w:p>
        </w:tc>
        <w:tc>
          <w:tcPr>
            <w:tcW w:type="dxa" w:w="2938"/>
            <w:vAlign w:val="center"/>
          </w:tcPr>
          <w:p>
            <w:pPr>
              <w:spacing w:after="80" w:before="80" w:line="252" w:lineRule="auto"/>
            </w:pPr>
            <w:r>
              <w:rPr>
                <w:rFonts w:ascii="Arial" w:hAnsi="Arial"/>
                <w:sz w:val="19"/>
              </w:rPr>
              <w:t>N309167</w:t>
            </w:r>
          </w:p>
        </w:tc>
      </w:tr>
      <w:tr>
        <w:trPr>
          <w:cantSplit/>
        </w:trPr>
        <w:tc>
          <w:tcPr>
            <w:tcW w:type="dxa" w:w="2592"/>
            <w:vAlign w:val="center"/>
          </w:tcPr>
          <w:p>
            <w:pPr>
              <w:spacing w:after="80" w:before="80" w:line="252" w:lineRule="auto"/>
            </w:pPr>
            <w:r>
              <w:rPr>
                <w:rFonts w:ascii="Arial" w:hAnsi="Arial"/>
                <w:sz w:val="19"/>
              </w:rPr>
              <w:t>Propulsion power</w:t>
            </w:r>
          </w:p>
        </w:tc>
        <w:tc>
          <w:tcPr>
            <w:tcW w:type="dxa" w:w="4205"/>
            <w:vAlign w:val="center"/>
          </w:tcPr>
          <w:p>
            <w:pPr>
              <w:spacing w:after="80" w:before="80" w:line="252" w:lineRule="auto"/>
            </w:pPr>
            <w:r>
              <w:rPr>
                <w:rFonts w:ascii="Arial" w:hAnsi="Arial"/>
                <w:sz w:val="19"/>
              </w:rPr>
              <w:t>At most 1000 W</w:t>
            </w:r>
          </w:p>
        </w:tc>
        <w:tc>
          <w:tcPr>
            <w:tcW w:type="dxa" w:w="2938"/>
            <w:vAlign w:val="center"/>
          </w:tcPr>
          <w:p>
            <w:pPr>
              <w:spacing w:after="80" w:before="80" w:line="252" w:lineRule="auto"/>
            </w:pPr>
            <w:r>
              <w:rPr>
                <w:rFonts w:ascii="Arial" w:hAnsi="Arial"/>
                <w:sz w:val="19"/>
              </w:rPr>
              <w:t>N306552</w:t>
            </w:r>
          </w:p>
        </w:tc>
      </w:tr>
      <w:tr>
        <w:trPr>
          <w:cantSplit/>
        </w:trPr>
        <w:tc>
          <w:tcPr>
            <w:tcW w:type="dxa" w:w="2592"/>
            <w:vAlign w:val="center"/>
          </w:tcPr>
          <w:p>
            <w:pPr>
              <w:spacing w:after="80" w:before="80" w:line="252" w:lineRule="auto"/>
            </w:pPr>
            <w:r>
              <w:rPr>
                <w:rFonts w:ascii="Arial" w:hAnsi="Arial"/>
                <w:sz w:val="19"/>
              </w:rPr>
              <w:t>Fireplace mass</w:t>
            </w:r>
          </w:p>
        </w:tc>
        <w:tc>
          <w:tcPr>
            <w:tcW w:type="dxa" w:w="4205"/>
            <w:vAlign w:val="center"/>
          </w:tcPr>
          <w:p>
            <w:pPr>
              <w:spacing w:after="80" w:before="80" w:line="252" w:lineRule="auto"/>
            </w:pPr>
            <w:r>
              <w:rPr>
                <w:rFonts w:ascii="Arial" w:hAnsi="Arial"/>
                <w:sz w:val="19"/>
              </w:rPr>
              <w:t>At most 21 kg</w:t>
            </w:r>
          </w:p>
        </w:tc>
        <w:tc>
          <w:tcPr>
            <w:tcW w:type="dxa" w:w="2938"/>
            <w:vAlign w:val="center"/>
          </w:tcPr>
          <w:p>
            <w:pPr>
              <w:spacing w:after="80" w:before="80" w:line="252" w:lineRule="auto"/>
            </w:pPr>
            <w:r>
              <w:rPr>
                <w:rFonts w:ascii="Arial" w:hAnsi="Arial"/>
                <w:sz w:val="19"/>
              </w:rPr>
              <w:t>H311957_1</w:t>
            </w:r>
          </w:p>
        </w:tc>
      </w:tr>
    </w:tbl>
    <w:p>
      <w:pPr>
        <w:spacing w:after="20"/>
      </w:pPr>
    </w:p>
    <w:p>
      <w:r>
        <w:t>Each family contains nine unique endpoints: supported base, deletion of the primary fact, irrelevant addition, decisive attribute change, retained contradiction with the companion fact omitted, original object binding, swapped object binding, equivalent expression, and evidence about another object only. Eight linked relationships per family give 96 relationships. Restoration reverses the deletion using the same base endpoint, so it adds no duplicate input. The paired observations are dependent and are not treated as 96 independent cases. Binding swaps preserve the complete value and token frequency while changing ownership. Irrelevant additions leave all relevant facts unchanged. Equivalent expressions use paraphrases or genuine unit conversions, whereas decisive changes alter the relevant attribute.</w:t>
      </w:r>
    </w:p>
    <w:p>
      <w:r>
        <w:t>The first condition carries every whole-input state change in this particular construction. The second condition serves as a companion-state and request-suppression check; the formal whole-input reference always equals the first-condition reference. Whole-input accuracy therefore cannot establish general integration of every necessary condition. The qualification set separately includes a supported first condition and an unknown second condition, but that small check does not remove the formal design restriction. The principal functional evidence consequently comes from condition states, gap/request behavior, object binding and preservation of a verified contradiction.</w:t>
      </w:r>
    </w:p>
    <w:p>
      <w:r>
        <w:t>Paired success requires both endpoint states to match the reference and the expected invariance or change. Always retaining an unknown answer cannot earn credit merely for stability. The report additionally records condition-state agreement; unknown-gap localization; missed necessary requests; unnecessary requests; unsupported affirmative conditions and decisions; acceptable evidence-ID sets; and preservation of a supported refutation when another condition is unknown. Direct output has no condition, citation or request fields, so those metrics are not applicable rather than assigned zero. Whole-input and paired counts are descriptive of this selected diagnostic domain, not estimates of deployment prevalence.</w:t>
      </w:r>
    </w:p>
    <w:p>
      <w:r>
        <w:t>The refutation-with-another-unknown endpoint checks whether the whole-input answer remains refuted and the request list is empty. It does not itself certify the returned condition explanation or citation; those are scored separately. Unknown-gap localization also includes unresolved conditions in already-refuted inputs, whereas necessary-request recall excludes those conditions because a decisive contradiction makes further requests unnecessary for the stated decision task.</w:t>
      </w:r>
    </w:p>
    <w:p>
      <w:r>
        <w:t>An initial construction used literal short quotations in the direct clause but more explicit interpretations in the checklist. Before the pilot predictions were inspected, a separate AI review identified unequal semantics for the granule and frame families. That run was stopped after three direct responses; the responses were preserved as a superseded pilot and never pooled with formal outcomes. The formal clause was rewritten once to include the same complete requirement sentences in both interfaces, with facts, references and paired links unchanged. The input versions, their before/after digests and the review record remain in the external manifests. No prediction selected the revised wording.</w:t>
      </w:r>
    </w:p>
    <w:p>
      <w:pPr>
        <w:pStyle w:val="Heading2"/>
      </w:pPr>
      <w:r>
        <w:t>S4.5 Pre-result reference erratum and sensitivity versions</w:t>
      </w:r>
    </w:p>
    <w:p>
      <w:r>
        <w:t>A separate AI-assisted source audit, conducted without reading the formal predictions, identified one semantic dependence in the wooden-frame family. A statement that the target frame is made of teak establishes that it is wooden. Consequently, CF10_refute_missing does not leave its second condition unknown even after the explicitly worded wooden-frame sentence is removed. The frozen input, original expected field, prompts and model responses were preserved. A separate timestamped annotation erratum changes only that condition state from unknown to supported. Every whole-input state and all 96 case-level paired reference relationships remain unchanged, as does the empty request set after the decisive teak refutation.</w:t>
      </w:r>
    </w:p>
    <w:p>
      <w:r>
        <w:t>The erratum also admits equivalent evidence in seven wooden-frame endpoints. For the companion wooden-frame condition, any nonempty subset of the target’s oak/teak statement and its explicitly worded wooden-frame statement is acceptable. The binding cases admit only the target Product A facts, never the neighboring Product B fact. The main condition analysis uses this corrected reference and acceptable citation sets; the original frozen-reference scores remain available. A separate sensitivity excludes the entire frame family, leaving 99 inputs, 198 conditions and 88 linked relationships. The strict test of a refutation coexisting with another unknown condition has eleven, rather than twelve, inputs after correction.</w:t>
      </w:r>
    </w:p>
    <w:p>
      <w:r>
        <w:t>Acceptable citation-set agreement is agreement with a fact-ID reference, not expert-validated legal entailment. Missing or invalid condition records stay in the denominator. The separate AI-assisted audit found no analogous companion-condition entailment in the other eleven families. The correction is an explicit reference-validity repair, not an inference rerun or a model-selection step.</w:t>
      </w:r>
    </w:p>
    <w:p>
      <w:pPr>
        <w:pStyle w:val="Heading2"/>
      </w:pPr>
      <w:r>
        <w:t>S4.6 Source-attribute restoration</w:t>
      </w:r>
    </w:p>
    <w:p>
      <w:r>
        <w:t>The separate restoration diagnostic contains four isolated conditions from three rulings and eight before/after endpoints. Before inputs retain the entire frozen product excerpt. After inputs append exactly one admitted product-attribute sentence from the complete public ruling; no holding or applicability conclusion is inserted. Both interfaces receive the same isolated requirement and product facts. The model is not asked to decide the full exclusion.</w:t>
      </w:r>
    </w:p>
    <w:p>
      <w:pPr>
        <w:keepNext/>
      </w:pPr>
      <w:r>
        <w:rPr>
          <w:b/>
        </w:rPr>
        <w:t>Table S4.2 Isolated source-restoration conditions</w:t>
      </w:r>
    </w:p>
    <w:tbl>
      <w:tblPr>
        <w:tblW w:type="auto" w:w="0"/>
        <w:jc w:val="center"/>
        <w:tblLayout w:type="fixed"/>
        <w:tblLook w:firstColumn="1" w:firstRow="1" w:lastColumn="0" w:lastRow="0" w:noHBand="0" w:noVBand="1" w:val="04A0"/>
        <w:tblBorders>
          <w:top w:val="single" w:sz="7" w:color="404040"/>
          <w:bottom w:val="single" w:sz="7" w:color="404040"/>
          <w:left w:val="nil" w:sz="0" w:color="404040"/>
          <w:right w:val="nil" w:sz="0" w:color="404040"/>
          <w:insideH w:val="nil" w:sz="0" w:color="404040"/>
          <w:insideV w:val="nil" w:sz="0" w:color="404040"/>
        </w:tblBorders>
        <w:tblLayout w:type="fixed"/>
      </w:tblPr>
      <w:tblGrid>
        <w:gridCol w:w="2275"/>
        <w:gridCol w:w="2880"/>
        <w:gridCol w:w="4565"/>
      </w:tblGrid>
      <w:tr>
        <w:trPr>
          <w:cantSplit/>
          <w:tblHeader/>
        </w:trPr>
        <w:tc>
          <w:tcPr>
            <w:tcW w:type="dxa" w:w="2275"/>
            <w:vAlign w:val="center"/>
            <w:tcBorders>
              <w:bottom w:val="single" w:sz="5" w:color="404040"/>
            </w:tcBorders>
          </w:tcPr>
          <w:p>
            <w:pPr>
              <w:keepNext/>
              <w:spacing w:after="80" w:before="80" w:line="252" w:lineRule="auto"/>
            </w:pPr>
            <w:r>
              <w:rPr>
                <w:rFonts w:ascii="Arial" w:hAnsi="Arial"/>
                <w:b/>
                <w:sz w:val="19"/>
              </w:rPr>
              <w:t>Isolated source condition</w:t>
            </w:r>
          </w:p>
        </w:tc>
        <w:tc>
          <w:tcPr>
            <w:tcW w:type="dxa" w:w="2880"/>
            <w:vAlign w:val="center"/>
            <w:tcBorders>
              <w:bottom w:val="single" w:sz="5" w:color="404040"/>
            </w:tcBorders>
          </w:tcPr>
          <w:p>
            <w:pPr>
              <w:keepNext/>
              <w:spacing w:after="80" w:before="80" w:line="252" w:lineRule="auto"/>
            </w:pPr>
            <w:r>
              <w:rPr>
                <w:rFonts w:ascii="Arial" w:hAnsi="Arial"/>
                <w:b/>
                <w:sz w:val="19"/>
              </w:rPr>
              <w:t>Added explicit attribute</w:t>
            </w:r>
          </w:p>
        </w:tc>
        <w:tc>
          <w:tcPr>
            <w:tcW w:type="dxa" w:w="4565"/>
            <w:vAlign w:val="center"/>
            <w:tcBorders>
              <w:bottom w:val="single" w:sz="5" w:color="404040"/>
            </w:tcBorders>
          </w:tcPr>
          <w:p>
            <w:pPr>
              <w:keepNext/>
              <w:spacing w:after="80" w:before="80" w:line="252" w:lineRule="auto"/>
            </w:pPr>
            <w:r>
              <w:rPr>
                <w:rFonts w:ascii="Arial" w:hAnsi="Arial"/>
                <w:b/>
                <w:sz w:val="19"/>
              </w:rPr>
              <w:t>Reference transition</w:t>
            </w:r>
          </w:p>
        </w:tc>
      </w:tr>
      <w:tr>
        <w:trPr>
          <w:cantSplit/>
        </w:trPr>
        <w:tc>
          <w:tcPr>
            <w:tcW w:type="dxa" w:w="2275"/>
            <w:vAlign w:val="center"/>
          </w:tcPr>
          <w:p>
            <w:pPr>
              <w:spacing w:after="80" w:before="80" w:line="252" w:lineRule="auto"/>
            </w:pPr>
            <w:r>
              <w:rPr>
                <w:rFonts w:ascii="Arial" w:hAnsi="Arial"/>
                <w:sz w:val="19"/>
              </w:rPr>
              <w:t>H330938_1:c4</w:t>
            </w:r>
          </w:p>
        </w:tc>
        <w:tc>
          <w:tcPr>
            <w:tcW w:type="dxa" w:w="2880"/>
            <w:vAlign w:val="center"/>
          </w:tcPr>
          <w:p>
            <w:pPr>
              <w:spacing w:after="80" w:before="80" w:line="252" w:lineRule="auto"/>
            </w:pPr>
            <w:r>
              <w:rPr>
                <w:rFonts w:ascii="Arial" w:hAnsi="Arial"/>
                <w:sz w:val="19"/>
              </w:rPr>
              <w:t>Cables imported without connectors</w:t>
            </w:r>
          </w:p>
        </w:tc>
        <w:tc>
          <w:tcPr>
            <w:tcW w:type="dxa" w:w="4565"/>
            <w:vAlign w:val="center"/>
          </w:tcPr>
          <w:p>
            <w:pPr>
              <w:spacing w:after="80" w:before="80" w:line="252" w:lineRule="auto"/>
            </w:pPr>
            <w:r>
              <w:rPr>
                <w:rFonts w:ascii="Arial" w:hAnsi="Arial"/>
                <w:sz w:val="19"/>
              </w:rPr>
              <w:t>Unknown to supported</w:t>
            </w:r>
          </w:p>
        </w:tc>
      </w:tr>
      <w:tr>
        <w:trPr>
          <w:cantSplit/>
        </w:trPr>
        <w:tc>
          <w:tcPr>
            <w:tcW w:type="dxa" w:w="2275"/>
            <w:vAlign w:val="center"/>
          </w:tcPr>
          <w:p>
            <w:pPr>
              <w:spacing w:after="80" w:before="80" w:line="252" w:lineRule="auto"/>
            </w:pPr>
            <w:r>
              <w:rPr>
                <w:rFonts w:ascii="Arial" w:hAnsi="Arial"/>
                <w:sz w:val="19"/>
              </w:rPr>
              <w:t>H322923_1:c2</w:t>
            </w:r>
          </w:p>
        </w:tc>
        <w:tc>
          <w:tcPr>
            <w:tcW w:type="dxa" w:w="2880"/>
            <w:vAlign w:val="center"/>
          </w:tcPr>
          <w:p>
            <w:pPr>
              <w:spacing w:after="80" w:before="80" w:line="252" w:lineRule="auto"/>
            </w:pPr>
            <w:r>
              <w:rPr>
                <w:rFonts w:ascii="Arial" w:hAnsi="Arial"/>
                <w:sz w:val="19"/>
              </w:rPr>
              <w:t>Wagons fitted with four wheels</w:t>
            </w:r>
          </w:p>
        </w:tc>
        <w:tc>
          <w:tcPr>
            <w:tcW w:type="dxa" w:w="4565"/>
            <w:vAlign w:val="center"/>
          </w:tcPr>
          <w:p>
            <w:pPr>
              <w:spacing w:after="80" w:before="80" w:line="252" w:lineRule="auto"/>
            </w:pPr>
            <w:r>
              <w:rPr>
                <w:rFonts w:ascii="Arial" w:hAnsi="Arial"/>
                <w:sz w:val="19"/>
              </w:rPr>
              <w:t>Unknown to supported</w:t>
            </w:r>
          </w:p>
        </w:tc>
      </w:tr>
      <w:tr>
        <w:trPr>
          <w:cantSplit/>
        </w:trPr>
        <w:tc>
          <w:tcPr>
            <w:tcW w:type="dxa" w:w="2275"/>
            <w:vAlign w:val="center"/>
          </w:tcPr>
          <w:p>
            <w:pPr>
              <w:spacing w:after="80" w:before="80" w:line="252" w:lineRule="auto"/>
            </w:pPr>
            <w:r>
              <w:rPr>
                <w:rFonts w:ascii="Arial" w:hAnsi="Arial"/>
                <w:sz w:val="19"/>
              </w:rPr>
              <w:t>H340899_1:c3</w:t>
            </w:r>
          </w:p>
        </w:tc>
        <w:tc>
          <w:tcPr>
            <w:tcW w:type="dxa" w:w="2880"/>
            <w:vAlign w:val="center"/>
          </w:tcPr>
          <w:p>
            <w:pPr>
              <w:spacing w:after="80" w:before="80" w:line="252" w:lineRule="auto"/>
            </w:pPr>
            <w:r>
              <w:rPr>
                <w:rFonts w:ascii="Arial" w:hAnsi="Arial"/>
                <w:sz w:val="19"/>
              </w:rPr>
              <w:t>Self-contained electric motors</w:t>
            </w:r>
          </w:p>
        </w:tc>
        <w:tc>
          <w:tcPr>
            <w:tcW w:type="dxa" w:w="4565"/>
            <w:vAlign w:val="center"/>
          </w:tcPr>
          <w:p>
            <w:pPr>
              <w:spacing w:after="80" w:before="80" w:line="252" w:lineRule="auto"/>
            </w:pPr>
            <w:r>
              <w:rPr>
                <w:rFonts w:ascii="Arial" w:hAnsi="Arial"/>
                <w:sz w:val="19"/>
              </w:rPr>
              <w:t>Unknown to supported under the strict explicit-attribute policy</w:t>
            </w:r>
          </w:p>
        </w:tc>
      </w:tr>
      <w:tr>
        <w:trPr>
          <w:cantSplit/>
        </w:trPr>
        <w:tc>
          <w:tcPr>
            <w:tcW w:type="dxa" w:w="2275"/>
            <w:vAlign w:val="center"/>
          </w:tcPr>
          <w:p>
            <w:pPr>
              <w:spacing w:after="80" w:before="80" w:line="252" w:lineRule="auto"/>
            </w:pPr>
            <w:r>
              <w:rPr>
                <w:rFonts w:ascii="Arial" w:hAnsi="Arial"/>
                <w:sz w:val="19"/>
              </w:rPr>
              <w:t>H340899_1:c4</w:t>
            </w:r>
          </w:p>
        </w:tc>
        <w:tc>
          <w:tcPr>
            <w:tcW w:type="dxa" w:w="2880"/>
            <w:vAlign w:val="center"/>
          </w:tcPr>
          <w:p>
            <w:pPr>
              <w:spacing w:after="80" w:before="80" w:line="252" w:lineRule="auto"/>
            </w:pPr>
            <w:r>
              <w:rPr>
                <w:rFonts w:ascii="Arial" w:hAnsi="Arial"/>
                <w:sz w:val="19"/>
              </w:rPr>
              <w:t>Motor power not exceeding 1500 W</w:t>
            </w:r>
          </w:p>
        </w:tc>
        <w:tc>
          <w:tcPr>
            <w:tcW w:type="dxa" w:w="4565"/>
            <w:vAlign w:val="center"/>
          </w:tcPr>
          <w:p>
            <w:pPr>
              <w:spacing w:after="80" w:before="80" w:line="252" w:lineRule="auto"/>
            </w:pPr>
            <w:r>
              <w:rPr>
                <w:rFonts w:ascii="Arial" w:hAnsi="Arial"/>
                <w:sz w:val="19"/>
              </w:rPr>
              <w:t>Unknown to supported</w:t>
            </w:r>
          </w:p>
        </w:tc>
      </w:tr>
    </w:tbl>
    <w:p>
      <w:pPr>
        <w:spacing w:after="20"/>
      </w:pPr>
    </w:p>
    <w:p>
      <w:r>
        <w:t>The two vacuum conditions share one restored sentence, giving three distinct additions rather than four independent sources. The historical motor-condition reference was supported through implicit component inference from a battery-powered vacuum. Its current before-state is unknown under a stricter explicit-attribute policy. This diagnostic therefore measures increased explicit evidence availability, not correction of four historical errors. Restoring connector absence also does not settle the cable ruling’s separate interpretive questions. These are post hoc probes of a retrospectively available public text, not unseen adjudications or contemporaneous applicant files.</w:t>
      </w:r>
    </w:p>
    <w:p>
      <w:pPr>
        <w:pStyle w:val="Heading2"/>
      </w:pPr>
      <w:r>
        <w:t>S4.7 Complete results and measured computation</w:t>
      </w:r>
    </w:p>
    <w:p>
      <w:pPr>
        <w:keepNext/>
      </w:pPr>
      <w:r>
        <w:rPr>
          <w:b/>
        </w:rPr>
        <w:t>Table S4.3. Complete controlled results under all reference versions. Numerators are matched whole-input or condition states; citation counts use the reference version indicated.</w:t>
      </w:r>
    </w:p>
    <w:tbl>
      <w:tblPr>
        <w:tblW w:type="auto" w:w="0"/>
        <w:jc w:val="center"/>
        <w:tblLayout w:type="fixed"/>
        <w:tblLook w:firstColumn="1" w:firstRow="1" w:lastColumn="0" w:lastRow="0" w:noHBand="0" w:noVBand="1" w:val="04A0"/>
        <w:tblBorders>
          <w:top w:val="single" w:sz="7" w:color="404040"/>
          <w:bottom w:val="single" w:sz="7" w:color="404040"/>
          <w:left w:val="nil" w:sz="0" w:color="404040"/>
          <w:right w:val="nil" w:sz="0" w:color="404040"/>
          <w:insideH w:val="nil" w:sz="0" w:color="404040"/>
          <w:insideV w:val="nil" w:sz="0" w:color="404040"/>
        </w:tblBorders>
        <w:tblLayout w:type="fixed"/>
      </w:tblPr>
      <w:tblGrid>
        <w:gridCol w:w="1771"/>
        <w:gridCol w:w="1987"/>
        <w:gridCol w:w="1210"/>
        <w:gridCol w:w="1354"/>
        <w:gridCol w:w="1253"/>
        <w:gridCol w:w="1094"/>
        <w:gridCol w:w="1066"/>
      </w:tblGrid>
      <w:tr>
        <w:trPr>
          <w:cantSplit/>
          <w:tblHeader/>
        </w:trPr>
        <w:tc>
          <w:tcPr>
            <w:tcW w:type="dxa" w:w="1771"/>
            <w:vAlign w:val="center"/>
            <w:tcBorders>
              <w:bottom w:val="single" w:sz="5" w:color="404040"/>
            </w:tcBorders>
          </w:tcPr>
          <w:p>
            <w:pPr>
              <w:keepNext/>
              <w:spacing w:after="80" w:before="80" w:line="252" w:lineRule="auto"/>
            </w:pPr>
            <w:r>
              <w:rPr>
                <w:rFonts w:ascii="Arial" w:hAnsi="Arial"/>
                <w:b/>
                <w:sz w:val="19"/>
              </w:rPr>
              <w:t>Reference version</w:t>
            </w:r>
          </w:p>
        </w:tc>
        <w:tc>
          <w:tcPr>
            <w:tcW w:type="dxa" w:w="1987"/>
            <w:vAlign w:val="center"/>
            <w:tcBorders>
              <w:bottom w:val="single" w:sz="5" w:color="404040"/>
            </w:tcBorders>
          </w:tcPr>
          <w:p>
            <w:pPr>
              <w:keepNext/>
              <w:spacing w:after="80" w:before="80" w:line="252" w:lineRule="auto"/>
            </w:pPr>
            <w:r>
              <w:rPr>
                <w:rFonts w:ascii="Arial" w:hAnsi="Arial"/>
                <w:b/>
                <w:sz w:val="19"/>
              </w:rPr>
              <w:t>Inputs / conditions / relationships</w:t>
            </w:r>
          </w:p>
        </w:tc>
        <w:tc>
          <w:tcPr>
            <w:tcW w:type="dxa" w:w="1210"/>
            <w:vAlign w:val="center"/>
            <w:tcBorders>
              <w:bottom w:val="single" w:sz="5" w:color="404040"/>
            </w:tcBorders>
          </w:tcPr>
          <w:p>
            <w:pPr>
              <w:keepNext/>
              <w:spacing w:after="80" w:before="80" w:line="252" w:lineRule="auto"/>
            </w:pPr>
            <w:r>
              <w:rPr>
                <w:rFonts w:ascii="Arial" w:hAnsi="Arial"/>
                <w:b/>
                <w:sz w:val="19"/>
              </w:rPr>
              <w:t>Direct case states</w:t>
            </w:r>
          </w:p>
        </w:tc>
        <w:tc>
          <w:tcPr>
            <w:tcW w:type="dxa" w:w="1354"/>
            <w:vAlign w:val="center"/>
            <w:tcBorders>
              <w:bottom w:val="single" w:sz="5" w:color="404040"/>
            </w:tcBorders>
          </w:tcPr>
          <w:p>
            <w:pPr>
              <w:keepNext/>
              <w:spacing w:after="80" w:before="80" w:line="252" w:lineRule="auto"/>
            </w:pPr>
            <w:r>
              <w:rPr>
                <w:rFonts w:ascii="Arial" w:hAnsi="Arial"/>
                <w:b/>
                <w:sz w:val="19"/>
              </w:rPr>
              <w:t>Checklist case states</w:t>
            </w:r>
          </w:p>
        </w:tc>
        <w:tc>
          <w:tcPr>
            <w:tcW w:type="dxa" w:w="1253"/>
            <w:vAlign w:val="center"/>
            <w:tcBorders>
              <w:bottom w:val="single" w:sz="5" w:color="404040"/>
            </w:tcBorders>
          </w:tcPr>
          <w:p>
            <w:pPr>
              <w:keepNext/>
              <w:spacing w:after="80" w:before="80" w:line="252" w:lineRule="auto"/>
            </w:pPr>
            <w:r>
              <w:rPr>
                <w:rFonts w:ascii="Arial" w:hAnsi="Arial"/>
                <w:b/>
                <w:sz w:val="19"/>
              </w:rPr>
              <w:t>Checklist aggregate</w:t>
            </w:r>
          </w:p>
        </w:tc>
        <w:tc>
          <w:tcPr>
            <w:tcW w:type="dxa" w:w="1094"/>
            <w:vAlign w:val="center"/>
            <w:tcBorders>
              <w:bottom w:val="single" w:sz="5" w:color="404040"/>
            </w:tcBorders>
          </w:tcPr>
          <w:p>
            <w:pPr>
              <w:keepNext/>
              <w:spacing w:after="80" w:before="80" w:line="252" w:lineRule="auto"/>
            </w:pPr>
            <w:r>
              <w:rPr>
                <w:rFonts w:ascii="Arial" w:hAnsi="Arial"/>
                <w:b/>
                <w:sz w:val="19"/>
              </w:rPr>
              <w:t>Condition states</w:t>
            </w:r>
          </w:p>
        </w:tc>
        <w:tc>
          <w:tcPr>
            <w:tcW w:type="dxa" w:w="1066"/>
            <w:vAlign w:val="center"/>
            <w:tcBorders>
              <w:bottom w:val="single" w:sz="5" w:color="404040"/>
            </w:tcBorders>
          </w:tcPr>
          <w:p>
            <w:pPr>
              <w:keepNext/>
              <w:spacing w:after="80" w:before="80" w:line="252" w:lineRule="auto"/>
            </w:pPr>
            <w:r>
              <w:rPr>
                <w:rFonts w:ascii="Arial" w:hAnsi="Arial"/>
                <w:b/>
                <w:sz w:val="19"/>
              </w:rPr>
              <w:t>Citation sets</w:t>
            </w:r>
          </w:p>
        </w:tc>
      </w:tr>
      <w:tr>
        <w:trPr>
          <w:cantSplit/>
        </w:trPr>
        <w:tc>
          <w:tcPr>
            <w:tcW w:type="dxa" w:w="1771"/>
            <w:vAlign w:val="center"/>
          </w:tcPr>
          <w:p>
            <w:pPr>
              <w:spacing w:after="80" w:before="80" w:line="252" w:lineRule="auto"/>
            </w:pPr>
            <w:r>
              <w:rPr>
                <w:rFonts w:ascii="Arial" w:hAnsi="Arial"/>
                <w:sz w:val="19"/>
              </w:rPr>
              <w:t>Original frozen reference</w:t>
            </w:r>
          </w:p>
        </w:tc>
        <w:tc>
          <w:tcPr>
            <w:tcW w:type="dxa" w:w="1987"/>
            <w:vAlign w:val="center"/>
          </w:tcPr>
          <w:p>
            <w:pPr>
              <w:spacing w:after="80" w:before="80" w:line="252" w:lineRule="auto"/>
            </w:pPr>
            <w:r>
              <w:rPr>
                <w:rFonts w:ascii="Arial" w:hAnsi="Arial"/>
                <w:sz w:val="19"/>
              </w:rPr>
              <w:t>108 / 216 / 96</w:t>
            </w:r>
          </w:p>
        </w:tc>
        <w:tc>
          <w:tcPr>
            <w:tcW w:type="dxa" w:w="1210"/>
            <w:vAlign w:val="center"/>
          </w:tcPr>
          <w:p>
            <w:pPr>
              <w:spacing w:after="80" w:before="80" w:line="252" w:lineRule="auto"/>
            </w:pPr>
            <w:r>
              <w:rPr>
                <w:rFonts w:ascii="Arial" w:hAnsi="Arial"/>
                <w:sz w:val="19"/>
              </w:rPr>
              <w:t>98/108</w:t>
            </w:r>
          </w:p>
        </w:tc>
        <w:tc>
          <w:tcPr>
            <w:tcW w:type="dxa" w:w="1354"/>
            <w:vAlign w:val="center"/>
          </w:tcPr>
          <w:p>
            <w:pPr>
              <w:spacing w:after="80" w:before="80" w:line="252" w:lineRule="auto"/>
            </w:pPr>
            <w:r>
              <w:rPr>
                <w:rFonts w:ascii="Arial" w:hAnsi="Arial"/>
                <w:sz w:val="19"/>
              </w:rPr>
              <w:t>104/108</w:t>
            </w:r>
          </w:p>
        </w:tc>
        <w:tc>
          <w:tcPr>
            <w:tcW w:type="dxa" w:w="1253"/>
            <w:vAlign w:val="center"/>
          </w:tcPr>
          <w:p>
            <w:pPr>
              <w:spacing w:after="80" w:before="80" w:line="252" w:lineRule="auto"/>
            </w:pPr>
            <w:r>
              <w:rPr>
                <w:rFonts w:ascii="Arial" w:hAnsi="Arial"/>
                <w:sz w:val="19"/>
              </w:rPr>
              <w:t>104/108</w:t>
            </w:r>
          </w:p>
        </w:tc>
        <w:tc>
          <w:tcPr>
            <w:tcW w:type="dxa" w:w="1094"/>
            <w:vAlign w:val="center"/>
          </w:tcPr>
          <w:p>
            <w:pPr>
              <w:spacing w:after="80" w:before="80" w:line="252" w:lineRule="auto"/>
            </w:pPr>
            <w:r>
              <w:rPr>
                <w:rFonts w:ascii="Arial" w:hAnsi="Arial"/>
                <w:sz w:val="19"/>
              </w:rPr>
              <w:t>212/216</w:t>
            </w:r>
          </w:p>
        </w:tc>
        <w:tc>
          <w:tcPr>
            <w:tcW w:type="dxa" w:w="1066"/>
            <w:vAlign w:val="center"/>
          </w:tcPr>
          <w:p>
            <w:pPr>
              <w:spacing w:after="80" w:before="80" w:line="252" w:lineRule="auto"/>
            </w:pPr>
            <w:r>
              <w:rPr>
                <w:rFonts w:ascii="Arial" w:hAnsi="Arial"/>
                <w:sz w:val="19"/>
              </w:rPr>
              <w:t>214/216</w:t>
            </w:r>
          </w:p>
        </w:tc>
      </w:tr>
      <w:tr>
        <w:trPr>
          <w:cantSplit/>
        </w:trPr>
        <w:tc>
          <w:tcPr>
            <w:tcW w:type="dxa" w:w="1771"/>
            <w:vAlign w:val="center"/>
          </w:tcPr>
          <w:p>
            <w:pPr>
              <w:spacing w:after="80" w:before="80" w:line="252" w:lineRule="auto"/>
            </w:pPr>
            <w:r>
              <w:rPr>
                <w:rFonts w:ascii="Arial" w:hAnsi="Arial"/>
                <w:sz w:val="19"/>
              </w:rPr>
              <w:t>Pre-result corrected reference</w:t>
            </w:r>
          </w:p>
        </w:tc>
        <w:tc>
          <w:tcPr>
            <w:tcW w:type="dxa" w:w="1987"/>
            <w:vAlign w:val="center"/>
          </w:tcPr>
          <w:p>
            <w:pPr>
              <w:spacing w:after="80" w:before="80" w:line="252" w:lineRule="auto"/>
            </w:pPr>
            <w:r>
              <w:rPr>
                <w:rFonts w:ascii="Arial" w:hAnsi="Arial"/>
                <w:sz w:val="19"/>
              </w:rPr>
              <w:t>108 / 216 / 96</w:t>
            </w:r>
          </w:p>
        </w:tc>
        <w:tc>
          <w:tcPr>
            <w:tcW w:type="dxa" w:w="1210"/>
            <w:vAlign w:val="center"/>
          </w:tcPr>
          <w:p>
            <w:pPr>
              <w:spacing w:after="80" w:before="80" w:line="252" w:lineRule="auto"/>
            </w:pPr>
            <w:r>
              <w:rPr>
                <w:rFonts w:ascii="Arial" w:hAnsi="Arial"/>
                <w:sz w:val="19"/>
              </w:rPr>
              <w:t>98/108</w:t>
            </w:r>
          </w:p>
        </w:tc>
        <w:tc>
          <w:tcPr>
            <w:tcW w:type="dxa" w:w="1354"/>
            <w:vAlign w:val="center"/>
          </w:tcPr>
          <w:p>
            <w:pPr>
              <w:spacing w:after="80" w:before="80" w:line="252" w:lineRule="auto"/>
            </w:pPr>
            <w:r>
              <w:rPr>
                <w:rFonts w:ascii="Arial" w:hAnsi="Arial"/>
                <w:sz w:val="19"/>
              </w:rPr>
              <w:t>104/108</w:t>
            </w:r>
          </w:p>
        </w:tc>
        <w:tc>
          <w:tcPr>
            <w:tcW w:type="dxa" w:w="1253"/>
            <w:vAlign w:val="center"/>
          </w:tcPr>
          <w:p>
            <w:pPr>
              <w:spacing w:after="80" w:before="80" w:line="252" w:lineRule="auto"/>
            </w:pPr>
            <w:r>
              <w:rPr>
                <w:rFonts w:ascii="Arial" w:hAnsi="Arial"/>
                <w:sz w:val="19"/>
              </w:rPr>
              <w:t>104/108</w:t>
            </w:r>
          </w:p>
        </w:tc>
        <w:tc>
          <w:tcPr>
            <w:tcW w:type="dxa" w:w="1094"/>
            <w:vAlign w:val="center"/>
          </w:tcPr>
          <w:p>
            <w:pPr>
              <w:spacing w:after="80" w:before="80" w:line="252" w:lineRule="auto"/>
            </w:pPr>
            <w:r>
              <w:rPr>
                <w:rFonts w:ascii="Arial" w:hAnsi="Arial"/>
                <w:sz w:val="19"/>
              </w:rPr>
              <w:t>211/216</w:t>
            </w:r>
          </w:p>
        </w:tc>
        <w:tc>
          <w:tcPr>
            <w:tcW w:type="dxa" w:w="1066"/>
            <w:vAlign w:val="center"/>
          </w:tcPr>
          <w:p>
            <w:pPr>
              <w:spacing w:after="80" w:before="80" w:line="252" w:lineRule="auto"/>
            </w:pPr>
            <w:r>
              <w:rPr>
                <w:rFonts w:ascii="Arial" w:hAnsi="Arial"/>
                <w:sz w:val="19"/>
              </w:rPr>
              <w:t>213/216</w:t>
            </w:r>
          </w:p>
        </w:tc>
      </w:tr>
      <w:tr>
        <w:trPr>
          <w:cantSplit/>
        </w:trPr>
        <w:tc>
          <w:tcPr>
            <w:tcW w:type="dxa" w:w="1771"/>
            <w:vAlign w:val="center"/>
          </w:tcPr>
          <w:p>
            <w:pPr>
              <w:spacing w:after="80" w:before="80" w:line="252" w:lineRule="auto"/>
            </w:pPr>
            <w:r>
              <w:rPr>
                <w:rFonts w:ascii="Arial" w:hAnsi="Arial"/>
                <w:sz w:val="19"/>
              </w:rPr>
              <w:t>Whole frame family excluded</w:t>
            </w:r>
          </w:p>
        </w:tc>
        <w:tc>
          <w:tcPr>
            <w:tcW w:type="dxa" w:w="1987"/>
            <w:vAlign w:val="center"/>
          </w:tcPr>
          <w:p>
            <w:pPr>
              <w:spacing w:after="80" w:before="80" w:line="252" w:lineRule="auto"/>
            </w:pPr>
            <w:r>
              <w:rPr>
                <w:rFonts w:ascii="Arial" w:hAnsi="Arial"/>
                <w:sz w:val="19"/>
              </w:rPr>
              <w:t>99 / 198 / 88</w:t>
            </w:r>
          </w:p>
        </w:tc>
        <w:tc>
          <w:tcPr>
            <w:tcW w:type="dxa" w:w="1210"/>
            <w:vAlign w:val="center"/>
          </w:tcPr>
          <w:p>
            <w:pPr>
              <w:spacing w:after="80" w:before="80" w:line="252" w:lineRule="auto"/>
            </w:pPr>
            <w:r>
              <w:rPr>
                <w:rFonts w:ascii="Arial" w:hAnsi="Arial"/>
                <w:sz w:val="19"/>
              </w:rPr>
              <w:t>91/99</w:t>
            </w:r>
          </w:p>
        </w:tc>
        <w:tc>
          <w:tcPr>
            <w:tcW w:type="dxa" w:w="1354"/>
            <w:vAlign w:val="center"/>
          </w:tcPr>
          <w:p>
            <w:pPr>
              <w:spacing w:after="80" w:before="80" w:line="252" w:lineRule="auto"/>
            </w:pPr>
            <w:r>
              <w:rPr>
                <w:rFonts w:ascii="Arial" w:hAnsi="Arial"/>
                <w:sz w:val="19"/>
              </w:rPr>
              <w:t>97/99</w:t>
            </w:r>
          </w:p>
        </w:tc>
        <w:tc>
          <w:tcPr>
            <w:tcW w:type="dxa" w:w="1253"/>
            <w:vAlign w:val="center"/>
          </w:tcPr>
          <w:p>
            <w:pPr>
              <w:spacing w:after="80" w:before="80" w:line="252" w:lineRule="auto"/>
            </w:pPr>
            <w:r>
              <w:rPr>
                <w:rFonts w:ascii="Arial" w:hAnsi="Arial"/>
                <w:sz w:val="19"/>
              </w:rPr>
              <w:t>97/99</w:t>
            </w:r>
          </w:p>
        </w:tc>
        <w:tc>
          <w:tcPr>
            <w:tcW w:type="dxa" w:w="1094"/>
            <w:vAlign w:val="center"/>
          </w:tcPr>
          <w:p>
            <w:pPr>
              <w:spacing w:after="80" w:before="80" w:line="252" w:lineRule="auto"/>
            </w:pPr>
            <w:r>
              <w:rPr>
                <w:rFonts w:ascii="Arial" w:hAnsi="Arial"/>
                <w:sz w:val="19"/>
              </w:rPr>
              <w:t>196/198</w:t>
            </w:r>
          </w:p>
        </w:tc>
        <w:tc>
          <w:tcPr>
            <w:tcW w:type="dxa" w:w="1066"/>
            <w:vAlign w:val="center"/>
          </w:tcPr>
          <w:p>
            <w:pPr>
              <w:spacing w:after="80" w:before="80" w:line="252" w:lineRule="auto"/>
            </w:pPr>
            <w:r>
              <w:rPr>
                <w:rFonts w:ascii="Arial" w:hAnsi="Arial"/>
                <w:sz w:val="19"/>
              </w:rPr>
              <w:t>198/198</w:t>
            </w:r>
          </w:p>
        </w:tc>
      </w:tr>
    </w:tbl>
    <w:p>
      <w:pPr>
        <w:spacing w:after="20"/>
      </w:pPr>
    </w:p>
    <w:p>
      <w:r>
        <w:t>Under the corrected reference, gap-localization counts were 31 true positives, 1 false positives and 4 false negatives. Requests included 20 necessary conditions, omitted 4 necessary conditions and included 0 unnecessary conditions; exact request sets matched 104/108 inputs. Unsupported affirmative whole-input conclusions numbered 10 for direct and 3 for checklist, with 3 unsupported affirmative condition states. Strict refutation-with-another-unknown was correctly retained without a request in 11/11 inputs.</w:t>
      </w:r>
    </w:p>
    <w:p>
      <w:r>
        <w:t>An additional descriptive check counted unsupported whole-input refutations against a supported or unknown reference: 0 for direct and 1 for checklist. The unsupported-refutation count at checklist condition level was 1. A model-generated negative state is therefore evaluated against condition evidence rather than presumed to be a verified contradiction. Reference-by-prediction cross-counts are retained in the complete analysis artifacts; these checks do not modify the predeclared primary endpoints.</w:t>
      </w:r>
    </w:p>
    <w:p>
      <w:pPr>
        <w:keepNext/>
      </w:pPr>
      <w:r>
        <w:rPr>
          <w:b/>
        </w:rPr>
        <w:t>Table S4.4. Linked functional relationships. Success requires both correct endpoint states and the specified relation; the endpoints are shared.</w:t>
      </w:r>
    </w:p>
    <w:tbl>
      <w:tblPr>
        <w:tblW w:type="auto" w:w="0"/>
        <w:jc w:val="center"/>
        <w:tblLayout w:type="fixed"/>
        <w:tblLook w:firstColumn="1" w:firstRow="1" w:lastColumn="0" w:lastRow="0" w:noHBand="0" w:noVBand="1" w:val="04A0"/>
        <w:tblBorders>
          <w:top w:val="single" w:sz="7" w:color="404040"/>
          <w:bottom w:val="single" w:sz="7" w:color="404040"/>
          <w:left w:val="nil" w:sz="0" w:color="404040"/>
          <w:right w:val="nil" w:sz="0" w:color="404040"/>
          <w:insideH w:val="nil" w:sz="0" w:color="404040"/>
          <w:insideV w:val="nil" w:sz="0" w:color="404040"/>
        </w:tblBorders>
        <w:tblLayout w:type="fixed"/>
      </w:tblPr>
      <w:tblGrid>
        <w:gridCol w:w="3902"/>
        <w:gridCol w:w="2693"/>
        <w:gridCol w:w="3110"/>
      </w:tblGrid>
      <w:tr>
        <w:trPr>
          <w:cantSplit/>
          <w:tblHeader/>
        </w:trPr>
        <w:tc>
          <w:tcPr>
            <w:tcW w:type="dxa" w:w="3902"/>
            <w:vAlign w:val="center"/>
            <w:tcBorders>
              <w:bottom w:val="single" w:sz="5" w:color="404040"/>
            </w:tcBorders>
          </w:tcPr>
          <w:p>
            <w:pPr>
              <w:keepNext/>
              <w:spacing w:after="80" w:before="80" w:line="252" w:lineRule="auto"/>
            </w:pPr>
            <w:r>
              <w:rPr>
                <w:rFonts w:ascii="Arial" w:hAnsi="Arial"/>
                <w:b/>
                <w:sz w:val="19"/>
              </w:rPr>
              <w:t>Relationship</w:t>
            </w:r>
          </w:p>
        </w:tc>
        <w:tc>
          <w:tcPr>
            <w:tcW w:type="dxa" w:w="2693"/>
            <w:vAlign w:val="center"/>
            <w:tcBorders>
              <w:bottom w:val="single" w:sz="5" w:color="404040"/>
            </w:tcBorders>
          </w:tcPr>
          <w:p>
            <w:pPr>
              <w:keepNext/>
              <w:spacing w:after="80" w:before="80" w:line="252" w:lineRule="auto"/>
            </w:pPr>
            <w:r>
              <w:rPr>
                <w:rFonts w:ascii="Arial" w:hAnsi="Arial"/>
                <w:b/>
                <w:sz w:val="19"/>
              </w:rPr>
              <w:t>Direct success</w:t>
            </w:r>
          </w:p>
        </w:tc>
        <w:tc>
          <w:tcPr>
            <w:tcW w:type="dxa" w:w="3110"/>
            <w:vAlign w:val="center"/>
            <w:tcBorders>
              <w:bottom w:val="single" w:sz="5" w:color="404040"/>
            </w:tcBorders>
          </w:tcPr>
          <w:p>
            <w:pPr>
              <w:keepNext/>
              <w:spacing w:after="80" w:before="80" w:line="252" w:lineRule="auto"/>
            </w:pPr>
            <w:r>
              <w:rPr>
                <w:rFonts w:ascii="Arial" w:hAnsi="Arial"/>
                <w:b/>
                <w:sz w:val="19"/>
              </w:rPr>
              <w:t>Checklist success</w:t>
            </w:r>
          </w:p>
        </w:tc>
      </w:tr>
      <w:tr>
        <w:trPr>
          <w:cantSplit/>
        </w:trPr>
        <w:tc>
          <w:tcPr>
            <w:tcW w:type="dxa" w:w="3902"/>
            <w:vAlign w:val="center"/>
          </w:tcPr>
          <w:p>
            <w:pPr>
              <w:spacing w:after="80" w:before="80" w:line="252" w:lineRule="auto"/>
            </w:pPr>
            <w:r>
              <w:rPr>
                <w:rFonts w:ascii="Arial" w:hAnsi="Arial"/>
                <w:sz w:val="19"/>
              </w:rPr>
              <w:t>decisive attribute</w:t>
            </w:r>
          </w:p>
        </w:tc>
        <w:tc>
          <w:tcPr>
            <w:tcW w:type="dxa" w:w="2693"/>
            <w:vAlign w:val="center"/>
          </w:tcPr>
          <w:p>
            <w:pPr>
              <w:spacing w:after="80" w:before="80" w:line="252" w:lineRule="auto"/>
            </w:pPr>
            <w:r>
              <w:rPr>
                <w:rFonts w:ascii="Arial" w:hAnsi="Arial"/>
                <w:sz w:val="19"/>
              </w:rPr>
              <w:t>12/12</w:t>
            </w:r>
          </w:p>
        </w:tc>
        <w:tc>
          <w:tcPr>
            <w:tcW w:type="dxa" w:w="3110"/>
            <w:vAlign w:val="center"/>
          </w:tcPr>
          <w:p>
            <w:pPr>
              <w:spacing w:after="80" w:before="80" w:line="252" w:lineRule="auto"/>
            </w:pPr>
            <w:r>
              <w:rPr>
                <w:rFonts w:ascii="Arial" w:hAnsi="Arial"/>
                <w:sz w:val="19"/>
              </w:rPr>
              <w:t>12/12</w:t>
            </w:r>
          </w:p>
        </w:tc>
      </w:tr>
      <w:tr>
        <w:trPr>
          <w:cantSplit/>
        </w:trPr>
        <w:tc>
          <w:tcPr>
            <w:tcW w:type="dxa" w:w="3902"/>
            <w:vAlign w:val="center"/>
          </w:tcPr>
          <w:p>
            <w:pPr>
              <w:spacing w:after="80" w:before="80" w:line="252" w:lineRule="auto"/>
            </w:pPr>
            <w:r>
              <w:rPr>
                <w:rFonts w:ascii="Arial" w:hAnsi="Arial"/>
                <w:sz w:val="19"/>
              </w:rPr>
              <w:t>deletion</w:t>
            </w:r>
          </w:p>
        </w:tc>
        <w:tc>
          <w:tcPr>
            <w:tcW w:type="dxa" w:w="2693"/>
            <w:vAlign w:val="center"/>
          </w:tcPr>
          <w:p>
            <w:pPr>
              <w:spacing w:after="80" w:before="80" w:line="252" w:lineRule="auto"/>
            </w:pPr>
            <w:r>
              <w:rPr>
                <w:rFonts w:ascii="Arial" w:hAnsi="Arial"/>
                <w:sz w:val="19"/>
              </w:rPr>
              <w:t>10/12</w:t>
            </w:r>
          </w:p>
        </w:tc>
        <w:tc>
          <w:tcPr>
            <w:tcW w:type="dxa" w:w="3110"/>
            <w:vAlign w:val="center"/>
          </w:tcPr>
          <w:p>
            <w:pPr>
              <w:spacing w:after="80" w:before="80" w:line="252" w:lineRule="auto"/>
            </w:pPr>
            <w:r>
              <w:rPr>
                <w:rFonts w:ascii="Arial" w:hAnsi="Arial"/>
                <w:sz w:val="19"/>
              </w:rPr>
              <w:t>10/12</w:t>
            </w:r>
          </w:p>
        </w:tc>
      </w:tr>
      <w:tr>
        <w:trPr>
          <w:cantSplit/>
        </w:trPr>
        <w:tc>
          <w:tcPr>
            <w:tcW w:type="dxa" w:w="3902"/>
            <w:vAlign w:val="center"/>
          </w:tcPr>
          <w:p>
            <w:pPr>
              <w:spacing w:after="80" w:before="80" w:line="252" w:lineRule="auto"/>
            </w:pPr>
            <w:r>
              <w:rPr>
                <w:rFonts w:ascii="Arial" w:hAnsi="Arial"/>
                <w:sz w:val="19"/>
              </w:rPr>
              <w:t>irrelevant addition</w:t>
            </w:r>
          </w:p>
        </w:tc>
        <w:tc>
          <w:tcPr>
            <w:tcW w:type="dxa" w:w="2693"/>
            <w:vAlign w:val="center"/>
          </w:tcPr>
          <w:p>
            <w:pPr>
              <w:spacing w:after="80" w:before="80" w:line="252" w:lineRule="auto"/>
            </w:pPr>
            <w:r>
              <w:rPr>
                <w:rFonts w:ascii="Arial" w:hAnsi="Arial"/>
                <w:sz w:val="19"/>
              </w:rPr>
              <w:t>12/12</w:t>
            </w:r>
          </w:p>
        </w:tc>
        <w:tc>
          <w:tcPr>
            <w:tcW w:type="dxa" w:w="3110"/>
            <w:vAlign w:val="center"/>
          </w:tcPr>
          <w:p>
            <w:pPr>
              <w:spacing w:after="80" w:before="80" w:line="252" w:lineRule="auto"/>
            </w:pPr>
            <w:r>
              <w:rPr>
                <w:rFonts w:ascii="Arial" w:hAnsi="Arial"/>
                <w:sz w:val="19"/>
              </w:rPr>
              <w:t>12/12</w:t>
            </w:r>
          </w:p>
        </w:tc>
      </w:tr>
      <w:tr>
        <w:trPr>
          <w:cantSplit/>
        </w:trPr>
        <w:tc>
          <w:tcPr>
            <w:tcW w:type="dxa" w:w="3902"/>
            <w:vAlign w:val="center"/>
          </w:tcPr>
          <w:p>
            <w:pPr>
              <w:spacing w:after="80" w:before="80" w:line="252" w:lineRule="auto"/>
            </w:pPr>
            <w:r>
              <w:rPr>
                <w:rFonts w:ascii="Arial" w:hAnsi="Arial"/>
                <w:sz w:val="19"/>
              </w:rPr>
              <w:t>object binding swap</w:t>
            </w:r>
          </w:p>
        </w:tc>
        <w:tc>
          <w:tcPr>
            <w:tcW w:type="dxa" w:w="2693"/>
            <w:vAlign w:val="center"/>
          </w:tcPr>
          <w:p>
            <w:pPr>
              <w:spacing w:after="80" w:before="80" w:line="252" w:lineRule="auto"/>
            </w:pPr>
            <w:r>
              <w:rPr>
                <w:rFonts w:ascii="Arial" w:hAnsi="Arial"/>
                <w:sz w:val="19"/>
              </w:rPr>
              <w:t>12/12</w:t>
            </w:r>
          </w:p>
        </w:tc>
        <w:tc>
          <w:tcPr>
            <w:tcW w:type="dxa" w:w="3110"/>
            <w:vAlign w:val="center"/>
          </w:tcPr>
          <w:p>
            <w:pPr>
              <w:spacing w:after="80" w:before="80" w:line="252" w:lineRule="auto"/>
            </w:pPr>
            <w:r>
              <w:rPr>
                <w:rFonts w:ascii="Arial" w:hAnsi="Arial"/>
                <w:sz w:val="19"/>
              </w:rPr>
              <w:t>12/12</w:t>
            </w:r>
          </w:p>
        </w:tc>
      </w:tr>
      <w:tr>
        <w:trPr>
          <w:cantSplit/>
        </w:trPr>
        <w:tc>
          <w:tcPr>
            <w:tcW w:type="dxa" w:w="3902"/>
            <w:vAlign w:val="center"/>
          </w:tcPr>
          <w:p>
            <w:pPr>
              <w:spacing w:after="80" w:before="80" w:line="252" w:lineRule="auto"/>
            </w:pPr>
            <w:r>
              <w:rPr>
                <w:rFonts w:ascii="Arial" w:hAnsi="Arial"/>
                <w:sz w:val="19"/>
              </w:rPr>
              <w:t>refutation preservation</w:t>
            </w:r>
          </w:p>
        </w:tc>
        <w:tc>
          <w:tcPr>
            <w:tcW w:type="dxa" w:w="2693"/>
            <w:vAlign w:val="center"/>
          </w:tcPr>
          <w:p>
            <w:pPr>
              <w:spacing w:after="80" w:before="80" w:line="252" w:lineRule="auto"/>
            </w:pPr>
            <w:r>
              <w:rPr>
                <w:rFonts w:ascii="Arial" w:hAnsi="Arial"/>
                <w:sz w:val="19"/>
              </w:rPr>
              <w:t>12/12</w:t>
            </w:r>
          </w:p>
        </w:tc>
        <w:tc>
          <w:tcPr>
            <w:tcW w:type="dxa" w:w="3110"/>
            <w:vAlign w:val="center"/>
          </w:tcPr>
          <w:p>
            <w:pPr>
              <w:spacing w:after="80" w:before="80" w:line="252" w:lineRule="auto"/>
            </w:pPr>
            <w:r>
              <w:rPr>
                <w:rFonts w:ascii="Arial" w:hAnsi="Arial"/>
                <w:sz w:val="19"/>
              </w:rPr>
              <w:t>12/12</w:t>
            </w:r>
          </w:p>
        </w:tc>
      </w:tr>
      <w:tr>
        <w:trPr>
          <w:cantSplit/>
        </w:trPr>
        <w:tc>
          <w:tcPr>
            <w:tcW w:type="dxa" w:w="3902"/>
            <w:vAlign w:val="center"/>
          </w:tcPr>
          <w:p>
            <w:pPr>
              <w:spacing w:after="80" w:before="80" w:line="252" w:lineRule="auto"/>
            </w:pPr>
            <w:r>
              <w:rPr>
                <w:rFonts w:ascii="Arial" w:hAnsi="Arial"/>
                <w:sz w:val="19"/>
              </w:rPr>
              <w:t>restoration</w:t>
            </w:r>
          </w:p>
        </w:tc>
        <w:tc>
          <w:tcPr>
            <w:tcW w:type="dxa" w:w="2693"/>
            <w:vAlign w:val="center"/>
          </w:tcPr>
          <w:p>
            <w:pPr>
              <w:spacing w:after="80" w:before="80" w:line="252" w:lineRule="auto"/>
            </w:pPr>
            <w:r>
              <w:rPr>
                <w:rFonts w:ascii="Arial" w:hAnsi="Arial"/>
                <w:sz w:val="19"/>
              </w:rPr>
              <w:t>10/12</w:t>
            </w:r>
          </w:p>
        </w:tc>
        <w:tc>
          <w:tcPr>
            <w:tcW w:type="dxa" w:w="3110"/>
            <w:vAlign w:val="center"/>
          </w:tcPr>
          <w:p>
            <w:pPr>
              <w:spacing w:after="80" w:before="80" w:line="252" w:lineRule="auto"/>
            </w:pPr>
            <w:r>
              <w:rPr>
                <w:rFonts w:ascii="Arial" w:hAnsi="Arial"/>
                <w:sz w:val="19"/>
              </w:rPr>
              <w:t>10/12</w:t>
            </w:r>
          </w:p>
        </w:tc>
      </w:tr>
      <w:tr>
        <w:trPr>
          <w:cantSplit/>
        </w:trPr>
        <w:tc>
          <w:tcPr>
            <w:tcW w:type="dxa" w:w="3902"/>
            <w:vAlign w:val="center"/>
          </w:tcPr>
          <w:p>
            <w:pPr>
              <w:spacing w:after="80" w:before="80" w:line="252" w:lineRule="auto"/>
            </w:pPr>
            <w:r>
              <w:rPr>
                <w:rFonts w:ascii="Arial" w:hAnsi="Arial"/>
                <w:sz w:val="19"/>
              </w:rPr>
              <w:t>semantic equivalence</w:t>
            </w:r>
          </w:p>
        </w:tc>
        <w:tc>
          <w:tcPr>
            <w:tcW w:type="dxa" w:w="2693"/>
            <w:vAlign w:val="center"/>
          </w:tcPr>
          <w:p>
            <w:pPr>
              <w:spacing w:after="80" w:before="80" w:line="252" w:lineRule="auto"/>
            </w:pPr>
            <w:r>
              <w:rPr>
                <w:rFonts w:ascii="Arial" w:hAnsi="Arial"/>
                <w:sz w:val="19"/>
              </w:rPr>
              <w:t>12/12</w:t>
            </w:r>
          </w:p>
        </w:tc>
        <w:tc>
          <w:tcPr>
            <w:tcW w:type="dxa" w:w="3110"/>
            <w:vAlign w:val="center"/>
          </w:tcPr>
          <w:p>
            <w:pPr>
              <w:spacing w:after="80" w:before="80" w:line="252" w:lineRule="auto"/>
            </w:pPr>
            <w:r>
              <w:rPr>
                <w:rFonts w:ascii="Arial" w:hAnsi="Arial"/>
                <w:sz w:val="19"/>
              </w:rPr>
              <w:t>12/12</w:t>
            </w:r>
          </w:p>
        </w:tc>
      </w:tr>
      <w:tr>
        <w:trPr>
          <w:cantSplit/>
        </w:trPr>
        <w:tc>
          <w:tcPr>
            <w:tcW w:type="dxa" w:w="3902"/>
            <w:vAlign w:val="center"/>
          </w:tcPr>
          <w:p>
            <w:pPr>
              <w:spacing w:after="80" w:before="80" w:line="252" w:lineRule="auto"/>
            </w:pPr>
            <w:r>
              <w:rPr>
                <w:rFonts w:ascii="Arial" w:hAnsi="Arial"/>
                <w:sz w:val="19"/>
              </w:rPr>
              <w:t>wrong object only</w:t>
            </w:r>
          </w:p>
        </w:tc>
        <w:tc>
          <w:tcPr>
            <w:tcW w:type="dxa" w:w="2693"/>
            <w:vAlign w:val="center"/>
          </w:tcPr>
          <w:p>
            <w:pPr>
              <w:spacing w:after="80" w:before="80" w:line="252" w:lineRule="auto"/>
            </w:pPr>
            <w:r>
              <w:rPr>
                <w:rFonts w:ascii="Arial" w:hAnsi="Arial"/>
                <w:sz w:val="19"/>
              </w:rPr>
              <w:t>4/12</w:t>
            </w:r>
          </w:p>
        </w:tc>
        <w:tc>
          <w:tcPr>
            <w:tcW w:type="dxa" w:w="3110"/>
            <w:vAlign w:val="center"/>
          </w:tcPr>
          <w:p>
            <w:pPr>
              <w:spacing w:after="80" w:before="80" w:line="252" w:lineRule="auto"/>
            </w:pPr>
            <w:r>
              <w:rPr>
                <w:rFonts w:ascii="Arial" w:hAnsi="Arial"/>
                <w:sz w:val="19"/>
              </w:rPr>
              <w:t>10/12</w:t>
            </w:r>
          </w:p>
        </w:tc>
      </w:tr>
    </w:tbl>
    <w:p>
      <w:pPr>
        <w:spacing w:after="20"/>
      </w:pPr>
    </w:p>
    <w:p>
      <w:r>
        <w:t>The source-restoration diagnostic matched 7/8 direct and 6/8 checklist states. The checklist matched 6/8 condition states and 6/8 acceptable citation sets. Both endpoints of the four restoration pairs were correct in 3/4 direct and 3/4 checklist relationships. These four relationships comprise three sources, with the policy-sensitive motor condition reported above.</w:t>
      </w:r>
    </w:p>
    <w:p>
      <w:r>
        <w:t>The four observed transitions are reported individually below; each reference transition is unknown to supported.</w:t>
      </w:r>
    </w:p>
    <w:p>
      <w:r>
        <w:t>- H330938_1:c4: direct unknown to supported, checklist unknown to supported.</w:t>
      </w:r>
    </w:p>
    <w:p>
      <w:r>
        <w:t>- H322923_1:c2: direct unknown to supported, checklist unknown to supported.</w:t>
      </w:r>
    </w:p>
    <w:p>
      <w:r>
        <w:t>- H340899_1:c3: direct unknown to unknown, checklist refuted to refuted.</w:t>
      </w:r>
    </w:p>
    <w:p>
      <w:r>
        <w:t>- H340899_1:c4: direct unknown to supported, checklist unknown to supported.</w:t>
      </w:r>
    </w:p>
    <w:p>
      <w:r>
        <w:t>The motor condition remained unknown in direct output and refuted in checklist output after the explicit supporting sentence was restored. The checklist therefore had 2 unsupported refutations across the before and after inputs; direct had 0. Neither interface made an unsupported affirmative restoration decision. The strict policy governing the before-reference does not remove the after-restoration error, and these output records do not establish its internal cause.</w:t>
      </w:r>
    </w:p>
    <w:p>
      <w:pPr>
        <w:keepNext/>
      </w:pPr>
      <w:r>
        <w:rPr>
          <w:b/>
        </w:rPr>
        <w:t>Table S4.5. Recorded inference costs and interface integrity. Completion-request times are summed wall-clock elapsed seconds for CPU-only, six-thread execution. They include uncontrolled shared-host load variation and exclude separate template/tokenization calls and model startup; full session wall time is retained separately. These records do not establish a fair efficiency ranking across configurations.</w:t>
      </w:r>
    </w:p>
    <w:tbl>
      <w:tblPr>
        <w:tblW w:type="auto" w:w="0"/>
        <w:jc w:val="center"/>
        <w:tblLayout w:type="fixed"/>
        <w:tblLook w:firstColumn="1" w:firstRow="1" w:lastColumn="0" w:lastRow="0" w:noHBand="0" w:noVBand="1" w:val="04A0"/>
        <w:tblBorders>
          <w:top w:val="single" w:sz="7" w:color="404040"/>
          <w:bottom w:val="single" w:sz="7" w:color="404040"/>
          <w:left w:val="nil" w:sz="0" w:color="404040"/>
          <w:right w:val="nil" w:sz="0" w:color="404040"/>
          <w:insideH w:val="nil" w:sz="0" w:color="404040"/>
          <w:insideV w:val="nil" w:sz="0" w:color="404040"/>
        </w:tblBorders>
        <w:tblLayout w:type="fixed"/>
      </w:tblPr>
      <w:tblGrid>
        <w:gridCol w:w="2318"/>
        <w:gridCol w:w="1051"/>
        <w:gridCol w:w="1282"/>
        <w:gridCol w:w="1354"/>
        <w:gridCol w:w="1598"/>
        <w:gridCol w:w="2117"/>
      </w:tblGrid>
      <w:tr>
        <w:trPr>
          <w:cantSplit/>
          <w:tblHeader/>
        </w:trPr>
        <w:tc>
          <w:tcPr>
            <w:tcW w:type="dxa" w:w="2318"/>
            <w:vAlign w:val="center"/>
            <w:tcBorders>
              <w:bottom w:val="single" w:sz="5" w:color="404040"/>
            </w:tcBorders>
          </w:tcPr>
          <w:p>
            <w:pPr>
              <w:keepNext/>
              <w:spacing w:after="80" w:before="80" w:line="252" w:lineRule="auto"/>
            </w:pPr>
            <w:r>
              <w:rPr>
                <w:rFonts w:ascii="Arial" w:hAnsi="Arial"/>
                <w:b/>
                <w:sz w:val="19"/>
              </w:rPr>
              <w:t>Dataset / interface</w:t>
            </w:r>
          </w:p>
        </w:tc>
        <w:tc>
          <w:tcPr>
            <w:tcW w:type="dxa" w:w="1051"/>
            <w:vAlign w:val="center"/>
            <w:tcBorders>
              <w:bottom w:val="single" w:sz="5" w:color="404040"/>
            </w:tcBorders>
          </w:tcPr>
          <w:p>
            <w:pPr>
              <w:keepNext/>
              <w:spacing w:after="80" w:before="80" w:line="252" w:lineRule="auto"/>
            </w:pPr>
            <w:r>
              <w:rPr>
                <w:rFonts w:ascii="Arial" w:hAnsi="Arial"/>
                <w:b/>
                <w:sz w:val="19"/>
              </w:rPr>
              <w:t>Requests</w:t>
            </w:r>
          </w:p>
        </w:tc>
        <w:tc>
          <w:tcPr>
            <w:tcW w:type="dxa" w:w="1282"/>
            <w:vAlign w:val="center"/>
            <w:tcBorders>
              <w:bottom w:val="single" w:sz="5" w:color="404040"/>
            </w:tcBorders>
          </w:tcPr>
          <w:p>
            <w:pPr>
              <w:keepNext/>
              <w:spacing w:after="80" w:before="80" w:line="252" w:lineRule="auto"/>
            </w:pPr>
            <w:r>
              <w:rPr>
                <w:rFonts w:ascii="Arial" w:hAnsi="Arial"/>
                <w:b/>
                <w:sz w:val="19"/>
              </w:rPr>
              <w:t>Request seconds</w:t>
            </w:r>
          </w:p>
        </w:tc>
        <w:tc>
          <w:tcPr>
            <w:tcW w:type="dxa" w:w="1354"/>
            <w:vAlign w:val="center"/>
            <w:tcBorders>
              <w:bottom w:val="single" w:sz="5" w:color="404040"/>
            </w:tcBorders>
          </w:tcPr>
          <w:p>
            <w:pPr>
              <w:keepNext/>
              <w:spacing w:after="80" w:before="80" w:line="252" w:lineRule="auto"/>
            </w:pPr>
            <w:r>
              <w:rPr>
                <w:rFonts w:ascii="Arial" w:hAnsi="Arial"/>
                <w:b/>
                <w:sz w:val="19"/>
              </w:rPr>
              <w:t>Generated tokens</w:t>
            </w:r>
          </w:p>
        </w:tc>
        <w:tc>
          <w:tcPr>
            <w:tcW w:type="dxa" w:w="1598"/>
            <w:vAlign w:val="center"/>
            <w:tcBorders>
              <w:bottom w:val="single" w:sz="5" w:color="404040"/>
            </w:tcBorders>
          </w:tcPr>
          <w:p>
            <w:pPr>
              <w:keepNext/>
              <w:spacing w:after="80" w:before="80" w:line="252" w:lineRule="auto"/>
            </w:pPr>
            <w:r>
              <w:rPr>
                <w:rFonts w:ascii="Arial" w:hAnsi="Arial"/>
                <w:b/>
                <w:sz w:val="19"/>
              </w:rPr>
              <w:t>Maximum input tokens</w:t>
            </w:r>
          </w:p>
        </w:tc>
        <w:tc>
          <w:tcPr>
            <w:tcW w:type="dxa" w:w="2117"/>
            <w:vAlign w:val="center"/>
            <w:tcBorders>
              <w:bottom w:val="single" w:sz="5" w:color="404040"/>
            </w:tcBorders>
          </w:tcPr>
          <w:p>
            <w:pPr>
              <w:keepNext/>
              <w:spacing w:after="80" w:before="80" w:line="252" w:lineRule="auto"/>
            </w:pPr>
            <w:r>
              <w:rPr>
                <w:rFonts w:ascii="Arial" w:hAnsi="Arial"/>
                <w:b/>
                <w:sz w:val="19"/>
              </w:rPr>
              <w:t>Invalid / incomplete / capped</w:t>
            </w:r>
          </w:p>
        </w:tc>
      </w:tr>
      <w:tr>
        <w:trPr>
          <w:cantSplit/>
        </w:trPr>
        <w:tc>
          <w:tcPr>
            <w:tcW w:type="dxa" w:w="2318"/>
            <w:vAlign w:val="center"/>
          </w:tcPr>
          <w:p>
            <w:pPr>
              <w:spacing w:after="80" w:before="80" w:line="252" w:lineRule="auto"/>
            </w:pPr>
            <w:r>
              <w:rPr>
                <w:rFonts w:ascii="Arial" w:hAnsi="Arial"/>
                <w:sz w:val="19"/>
              </w:rPr>
              <w:t>qualification cases / direct</w:t>
            </w:r>
          </w:p>
        </w:tc>
        <w:tc>
          <w:tcPr>
            <w:tcW w:type="dxa" w:w="1051"/>
            <w:vAlign w:val="center"/>
          </w:tcPr>
          <w:p>
            <w:pPr>
              <w:spacing w:after="80" w:before="80" w:line="252" w:lineRule="auto"/>
            </w:pPr>
            <w:r>
              <w:rPr>
                <w:rFonts w:ascii="Arial" w:hAnsi="Arial"/>
                <w:sz w:val="19"/>
              </w:rPr>
              <w:t>24</w:t>
            </w:r>
          </w:p>
        </w:tc>
        <w:tc>
          <w:tcPr>
            <w:tcW w:type="dxa" w:w="1282"/>
            <w:vAlign w:val="center"/>
          </w:tcPr>
          <w:p>
            <w:pPr>
              <w:spacing w:after="80" w:before="80" w:line="252" w:lineRule="auto"/>
            </w:pPr>
            <w:r>
              <w:rPr>
                <w:rFonts w:ascii="Arial" w:hAnsi="Arial"/>
                <w:sz w:val="19"/>
              </w:rPr>
              <w:t>141.361</w:t>
            </w:r>
          </w:p>
        </w:tc>
        <w:tc>
          <w:tcPr>
            <w:tcW w:type="dxa" w:w="1354"/>
            <w:vAlign w:val="center"/>
          </w:tcPr>
          <w:p>
            <w:pPr>
              <w:spacing w:after="80" w:before="80" w:line="252" w:lineRule="auto"/>
            </w:pPr>
            <w:r>
              <w:rPr>
                <w:rFonts w:ascii="Arial" w:hAnsi="Arial"/>
                <w:sz w:val="19"/>
              </w:rPr>
              <w:t>152</w:t>
            </w:r>
          </w:p>
        </w:tc>
        <w:tc>
          <w:tcPr>
            <w:tcW w:type="dxa" w:w="1598"/>
            <w:vAlign w:val="center"/>
          </w:tcPr>
          <w:p>
            <w:pPr>
              <w:spacing w:after="80" w:before="80" w:line="252" w:lineRule="auto"/>
            </w:pPr>
            <w:r>
              <w:rPr>
                <w:rFonts w:ascii="Arial" w:hAnsi="Arial"/>
                <w:sz w:val="19"/>
              </w:rPr>
              <w:t>197</w:t>
            </w:r>
          </w:p>
        </w:tc>
        <w:tc>
          <w:tcPr>
            <w:tcW w:type="dxa" w:w="2117"/>
            <w:vAlign w:val="center"/>
          </w:tcPr>
          <w:p>
            <w:pPr>
              <w:spacing w:after="80" w:before="80" w:line="252" w:lineRule="auto"/>
            </w:pPr>
            <w:r>
              <w:rPr>
                <w:rFonts w:ascii="Arial" w:hAnsi="Arial"/>
                <w:sz w:val="19"/>
              </w:rPr>
              <w:t>0 / 0 / 0</w:t>
            </w:r>
          </w:p>
        </w:tc>
      </w:tr>
      <w:tr>
        <w:trPr>
          <w:cantSplit/>
        </w:trPr>
        <w:tc>
          <w:tcPr>
            <w:tcW w:type="dxa" w:w="2318"/>
            <w:vAlign w:val="center"/>
          </w:tcPr>
          <w:p>
            <w:pPr>
              <w:spacing w:after="80" w:before="80" w:line="252" w:lineRule="auto"/>
            </w:pPr>
            <w:r>
              <w:rPr>
                <w:rFonts w:ascii="Arial" w:hAnsi="Arial"/>
                <w:sz w:val="19"/>
              </w:rPr>
              <w:t>qualification cases / checklist</w:t>
            </w:r>
          </w:p>
        </w:tc>
        <w:tc>
          <w:tcPr>
            <w:tcW w:type="dxa" w:w="1051"/>
            <w:vAlign w:val="center"/>
          </w:tcPr>
          <w:p>
            <w:pPr>
              <w:spacing w:after="80" w:before="80" w:line="252" w:lineRule="auto"/>
            </w:pPr>
            <w:r>
              <w:rPr>
                <w:rFonts w:ascii="Arial" w:hAnsi="Arial"/>
                <w:sz w:val="19"/>
              </w:rPr>
              <w:t>24</w:t>
            </w:r>
          </w:p>
        </w:tc>
        <w:tc>
          <w:tcPr>
            <w:tcW w:type="dxa" w:w="1282"/>
            <w:vAlign w:val="center"/>
          </w:tcPr>
          <w:p>
            <w:pPr>
              <w:spacing w:after="80" w:before="80" w:line="252" w:lineRule="auto"/>
            </w:pPr>
            <w:r>
              <w:rPr>
                <w:rFonts w:ascii="Arial" w:hAnsi="Arial"/>
                <w:sz w:val="19"/>
              </w:rPr>
              <w:t>483.312</w:t>
            </w:r>
          </w:p>
        </w:tc>
        <w:tc>
          <w:tcPr>
            <w:tcW w:type="dxa" w:w="1354"/>
            <w:vAlign w:val="center"/>
          </w:tcPr>
          <w:p>
            <w:pPr>
              <w:spacing w:after="80" w:before="80" w:line="252" w:lineRule="auto"/>
            </w:pPr>
            <w:r>
              <w:rPr>
                <w:rFonts w:ascii="Arial" w:hAnsi="Arial"/>
                <w:sz w:val="19"/>
              </w:rPr>
              <w:t>1294</w:t>
            </w:r>
          </w:p>
        </w:tc>
        <w:tc>
          <w:tcPr>
            <w:tcW w:type="dxa" w:w="1598"/>
            <w:vAlign w:val="center"/>
          </w:tcPr>
          <w:p>
            <w:pPr>
              <w:spacing w:after="80" w:before="80" w:line="252" w:lineRule="auto"/>
            </w:pPr>
            <w:r>
              <w:rPr>
                <w:rFonts w:ascii="Arial" w:hAnsi="Arial"/>
                <w:sz w:val="19"/>
              </w:rPr>
              <w:t>439</w:t>
            </w:r>
          </w:p>
        </w:tc>
        <w:tc>
          <w:tcPr>
            <w:tcW w:type="dxa" w:w="2117"/>
            <w:vAlign w:val="center"/>
          </w:tcPr>
          <w:p>
            <w:pPr>
              <w:spacing w:after="80" w:before="80" w:line="252" w:lineRule="auto"/>
            </w:pPr>
            <w:r>
              <w:rPr>
                <w:rFonts w:ascii="Arial" w:hAnsi="Arial"/>
                <w:sz w:val="19"/>
              </w:rPr>
              <w:t>0 / 0 / 0</w:t>
            </w:r>
          </w:p>
        </w:tc>
      </w:tr>
      <w:tr>
        <w:trPr>
          <w:cantSplit/>
        </w:trPr>
        <w:tc>
          <w:tcPr>
            <w:tcW w:type="dxa" w:w="2318"/>
            <w:vAlign w:val="center"/>
          </w:tcPr>
          <w:p>
            <w:pPr>
              <w:spacing w:after="80" w:before="80" w:line="252" w:lineRule="auto"/>
            </w:pPr>
            <w:r>
              <w:rPr>
                <w:rFonts w:ascii="Arial" w:hAnsi="Arial"/>
                <w:sz w:val="19"/>
              </w:rPr>
              <w:t>controlled cases / direct</w:t>
            </w:r>
          </w:p>
        </w:tc>
        <w:tc>
          <w:tcPr>
            <w:tcW w:type="dxa" w:w="1051"/>
            <w:vAlign w:val="center"/>
          </w:tcPr>
          <w:p>
            <w:pPr>
              <w:spacing w:after="80" w:before="80" w:line="252" w:lineRule="auto"/>
            </w:pPr>
            <w:r>
              <w:rPr>
                <w:rFonts w:ascii="Arial" w:hAnsi="Arial"/>
                <w:sz w:val="19"/>
              </w:rPr>
              <w:t>108</w:t>
            </w:r>
          </w:p>
        </w:tc>
        <w:tc>
          <w:tcPr>
            <w:tcW w:type="dxa" w:w="1282"/>
            <w:vAlign w:val="center"/>
          </w:tcPr>
          <w:p>
            <w:pPr>
              <w:spacing w:after="80" w:before="80" w:line="252" w:lineRule="auto"/>
            </w:pPr>
            <w:r>
              <w:rPr>
                <w:rFonts w:ascii="Arial" w:hAnsi="Arial"/>
                <w:sz w:val="19"/>
              </w:rPr>
              <w:t>1190.401</w:t>
            </w:r>
          </w:p>
        </w:tc>
        <w:tc>
          <w:tcPr>
            <w:tcW w:type="dxa" w:w="1354"/>
            <w:vAlign w:val="center"/>
          </w:tcPr>
          <w:p>
            <w:pPr>
              <w:spacing w:after="80" w:before="80" w:line="252" w:lineRule="auto"/>
            </w:pPr>
            <w:r>
              <w:rPr>
                <w:rFonts w:ascii="Arial" w:hAnsi="Arial"/>
                <w:sz w:val="19"/>
              </w:rPr>
              <w:t>684</w:t>
            </w:r>
          </w:p>
        </w:tc>
        <w:tc>
          <w:tcPr>
            <w:tcW w:type="dxa" w:w="1598"/>
            <w:vAlign w:val="center"/>
          </w:tcPr>
          <w:p>
            <w:pPr>
              <w:spacing w:after="80" w:before="80" w:line="252" w:lineRule="auto"/>
            </w:pPr>
            <w:r>
              <w:rPr>
                <w:rFonts w:ascii="Arial" w:hAnsi="Arial"/>
                <w:sz w:val="19"/>
              </w:rPr>
              <w:t>267</w:t>
            </w:r>
          </w:p>
        </w:tc>
        <w:tc>
          <w:tcPr>
            <w:tcW w:type="dxa" w:w="2117"/>
            <w:vAlign w:val="center"/>
          </w:tcPr>
          <w:p>
            <w:pPr>
              <w:spacing w:after="80" w:before="80" w:line="252" w:lineRule="auto"/>
            </w:pPr>
            <w:r>
              <w:rPr>
                <w:rFonts w:ascii="Arial" w:hAnsi="Arial"/>
                <w:sz w:val="19"/>
              </w:rPr>
              <w:t>0 / 0 / 0</w:t>
            </w:r>
          </w:p>
        </w:tc>
      </w:tr>
      <w:tr>
        <w:trPr>
          <w:cantSplit/>
        </w:trPr>
        <w:tc>
          <w:tcPr>
            <w:tcW w:type="dxa" w:w="2318"/>
            <w:vAlign w:val="center"/>
          </w:tcPr>
          <w:p>
            <w:pPr>
              <w:spacing w:after="80" w:before="80" w:line="252" w:lineRule="auto"/>
            </w:pPr>
            <w:r>
              <w:rPr>
                <w:rFonts w:ascii="Arial" w:hAnsi="Arial"/>
                <w:sz w:val="19"/>
              </w:rPr>
              <w:t>controlled cases / checklist</w:t>
            </w:r>
          </w:p>
        </w:tc>
        <w:tc>
          <w:tcPr>
            <w:tcW w:type="dxa" w:w="1051"/>
            <w:vAlign w:val="center"/>
          </w:tcPr>
          <w:p>
            <w:pPr>
              <w:spacing w:after="80" w:before="80" w:line="252" w:lineRule="auto"/>
            </w:pPr>
            <w:r>
              <w:rPr>
                <w:rFonts w:ascii="Arial" w:hAnsi="Arial"/>
                <w:sz w:val="19"/>
              </w:rPr>
              <w:t>108</w:t>
            </w:r>
          </w:p>
        </w:tc>
        <w:tc>
          <w:tcPr>
            <w:tcW w:type="dxa" w:w="1282"/>
            <w:vAlign w:val="center"/>
          </w:tcPr>
          <w:p>
            <w:pPr>
              <w:spacing w:after="80" w:before="80" w:line="252" w:lineRule="auto"/>
            </w:pPr>
            <w:r>
              <w:rPr>
                <w:rFonts w:ascii="Arial" w:hAnsi="Arial"/>
                <w:sz w:val="19"/>
              </w:rPr>
              <w:t>3724.611</w:t>
            </w:r>
          </w:p>
        </w:tc>
        <w:tc>
          <w:tcPr>
            <w:tcW w:type="dxa" w:w="1354"/>
            <w:vAlign w:val="center"/>
          </w:tcPr>
          <w:p>
            <w:pPr>
              <w:spacing w:after="80" w:before="80" w:line="252" w:lineRule="auto"/>
            </w:pPr>
            <w:r>
              <w:rPr>
                <w:rFonts w:ascii="Arial" w:hAnsi="Arial"/>
                <w:sz w:val="19"/>
              </w:rPr>
              <w:t>8456</w:t>
            </w:r>
          </w:p>
        </w:tc>
        <w:tc>
          <w:tcPr>
            <w:tcW w:type="dxa" w:w="1598"/>
            <w:vAlign w:val="center"/>
          </w:tcPr>
          <w:p>
            <w:pPr>
              <w:spacing w:after="80" w:before="80" w:line="252" w:lineRule="auto"/>
            </w:pPr>
            <w:r>
              <w:rPr>
                <w:rFonts w:ascii="Arial" w:hAnsi="Arial"/>
                <w:sz w:val="19"/>
              </w:rPr>
              <w:t>522</w:t>
            </w:r>
          </w:p>
        </w:tc>
        <w:tc>
          <w:tcPr>
            <w:tcW w:type="dxa" w:w="2117"/>
            <w:vAlign w:val="center"/>
          </w:tcPr>
          <w:p>
            <w:pPr>
              <w:spacing w:after="80" w:before="80" w:line="252" w:lineRule="auto"/>
            </w:pPr>
            <w:r>
              <w:rPr>
                <w:rFonts w:ascii="Arial" w:hAnsi="Arial"/>
                <w:sz w:val="19"/>
              </w:rPr>
              <w:t>0 / 0 / 0</w:t>
            </w:r>
          </w:p>
        </w:tc>
      </w:tr>
      <w:tr>
        <w:trPr>
          <w:cantSplit/>
        </w:trPr>
        <w:tc>
          <w:tcPr>
            <w:tcW w:type="dxa" w:w="2318"/>
            <w:vAlign w:val="center"/>
          </w:tcPr>
          <w:p>
            <w:pPr>
              <w:spacing w:after="80" w:before="80" w:line="252" w:lineRule="auto"/>
            </w:pPr>
            <w:r>
              <w:rPr>
                <w:rFonts w:ascii="Arial" w:hAnsi="Arial"/>
                <w:sz w:val="19"/>
              </w:rPr>
              <w:t>source recovery cases / direct</w:t>
            </w:r>
          </w:p>
        </w:tc>
        <w:tc>
          <w:tcPr>
            <w:tcW w:type="dxa" w:w="1051"/>
            <w:vAlign w:val="center"/>
          </w:tcPr>
          <w:p>
            <w:pPr>
              <w:spacing w:after="80" w:before="80" w:line="252" w:lineRule="auto"/>
            </w:pPr>
            <w:r>
              <w:rPr>
                <w:rFonts w:ascii="Arial" w:hAnsi="Arial"/>
                <w:sz w:val="19"/>
              </w:rPr>
              <w:t>8</w:t>
            </w:r>
          </w:p>
        </w:tc>
        <w:tc>
          <w:tcPr>
            <w:tcW w:type="dxa" w:w="1282"/>
            <w:vAlign w:val="center"/>
          </w:tcPr>
          <w:p>
            <w:pPr>
              <w:spacing w:after="80" w:before="80" w:line="252" w:lineRule="auto"/>
            </w:pPr>
            <w:r>
              <w:rPr>
                <w:rFonts w:ascii="Arial" w:hAnsi="Arial"/>
                <w:sz w:val="19"/>
              </w:rPr>
              <w:t>118.048</w:t>
            </w:r>
          </w:p>
        </w:tc>
        <w:tc>
          <w:tcPr>
            <w:tcW w:type="dxa" w:w="1354"/>
            <w:vAlign w:val="center"/>
          </w:tcPr>
          <w:p>
            <w:pPr>
              <w:spacing w:after="80" w:before="80" w:line="252" w:lineRule="auto"/>
            </w:pPr>
            <w:r>
              <w:rPr>
                <w:rFonts w:ascii="Arial" w:hAnsi="Arial"/>
                <w:sz w:val="19"/>
              </w:rPr>
              <w:t>48</w:t>
            </w:r>
          </w:p>
        </w:tc>
        <w:tc>
          <w:tcPr>
            <w:tcW w:type="dxa" w:w="1598"/>
            <w:vAlign w:val="center"/>
          </w:tcPr>
          <w:p>
            <w:pPr>
              <w:spacing w:after="80" w:before="80" w:line="252" w:lineRule="auto"/>
            </w:pPr>
            <w:r>
              <w:rPr>
                <w:rFonts w:ascii="Arial" w:hAnsi="Arial"/>
                <w:sz w:val="19"/>
              </w:rPr>
              <w:t>551</w:t>
            </w:r>
          </w:p>
        </w:tc>
        <w:tc>
          <w:tcPr>
            <w:tcW w:type="dxa" w:w="2117"/>
            <w:vAlign w:val="center"/>
          </w:tcPr>
          <w:p>
            <w:pPr>
              <w:spacing w:after="80" w:before="80" w:line="252" w:lineRule="auto"/>
            </w:pPr>
            <w:r>
              <w:rPr>
                <w:rFonts w:ascii="Arial" w:hAnsi="Arial"/>
                <w:sz w:val="19"/>
              </w:rPr>
              <w:t>0 / 0 / 0</w:t>
            </w:r>
          </w:p>
        </w:tc>
      </w:tr>
      <w:tr>
        <w:trPr>
          <w:cantSplit/>
        </w:trPr>
        <w:tc>
          <w:tcPr>
            <w:tcW w:type="dxa" w:w="2318"/>
            <w:vAlign w:val="center"/>
          </w:tcPr>
          <w:p>
            <w:pPr>
              <w:spacing w:after="80" w:before="80" w:line="252" w:lineRule="auto"/>
            </w:pPr>
            <w:r>
              <w:rPr>
                <w:rFonts w:ascii="Arial" w:hAnsi="Arial"/>
                <w:sz w:val="19"/>
              </w:rPr>
              <w:t>source recovery cases / checklist</w:t>
            </w:r>
          </w:p>
        </w:tc>
        <w:tc>
          <w:tcPr>
            <w:tcW w:type="dxa" w:w="1051"/>
            <w:vAlign w:val="center"/>
          </w:tcPr>
          <w:p>
            <w:pPr>
              <w:spacing w:after="80" w:before="80" w:line="252" w:lineRule="auto"/>
            </w:pPr>
            <w:r>
              <w:rPr>
                <w:rFonts w:ascii="Arial" w:hAnsi="Arial"/>
                <w:sz w:val="19"/>
              </w:rPr>
              <w:t>8</w:t>
            </w:r>
          </w:p>
        </w:tc>
        <w:tc>
          <w:tcPr>
            <w:tcW w:type="dxa" w:w="1282"/>
            <w:vAlign w:val="center"/>
          </w:tcPr>
          <w:p>
            <w:pPr>
              <w:spacing w:after="80" w:before="80" w:line="252" w:lineRule="auto"/>
            </w:pPr>
            <w:r>
              <w:rPr>
                <w:rFonts w:ascii="Arial" w:hAnsi="Arial"/>
                <w:sz w:val="19"/>
              </w:rPr>
              <w:t>220.358</w:t>
            </w:r>
          </w:p>
        </w:tc>
        <w:tc>
          <w:tcPr>
            <w:tcW w:type="dxa" w:w="1354"/>
            <w:vAlign w:val="center"/>
          </w:tcPr>
          <w:p>
            <w:pPr>
              <w:spacing w:after="80" w:before="80" w:line="252" w:lineRule="auto"/>
            </w:pPr>
            <w:r>
              <w:rPr>
                <w:rFonts w:ascii="Arial" w:hAnsi="Arial"/>
                <w:sz w:val="19"/>
              </w:rPr>
              <w:t>408</w:t>
            </w:r>
          </w:p>
        </w:tc>
        <w:tc>
          <w:tcPr>
            <w:tcW w:type="dxa" w:w="1598"/>
            <w:vAlign w:val="center"/>
          </w:tcPr>
          <w:p>
            <w:pPr>
              <w:spacing w:after="80" w:before="80" w:line="252" w:lineRule="auto"/>
            </w:pPr>
            <w:r>
              <w:rPr>
                <w:rFonts w:ascii="Arial" w:hAnsi="Arial"/>
                <w:sz w:val="19"/>
              </w:rPr>
              <w:t>757</w:t>
            </w:r>
          </w:p>
        </w:tc>
        <w:tc>
          <w:tcPr>
            <w:tcW w:type="dxa" w:w="2117"/>
            <w:vAlign w:val="center"/>
          </w:tcPr>
          <w:p>
            <w:pPr>
              <w:spacing w:after="80" w:before="80" w:line="252" w:lineRule="auto"/>
            </w:pPr>
            <w:r>
              <w:rPr>
                <w:rFonts w:ascii="Arial" w:hAnsi="Arial"/>
                <w:sz w:val="19"/>
              </w:rPr>
              <w:t>0 / 0 / 0</w:t>
            </w:r>
          </w:p>
        </w:tc>
      </w:tr>
    </w:tbl>
    <w:p>
      <w:pPr>
        <w:spacing w:after="20"/>
      </w:pPr>
    </w:p>
    <w:p>
      <w:r>
        <w:t>Development request times were 22.296 s for direct and 92.296 s for checklist. Session metadata retain actual startup and total wall time separately. Exact prompt reconstruction and duplicate-free input/output identity checks passed for every complete reported run. All functional failure records, including errors hidden by a correct whole-input decision, remain in the machine-readable summary.</w:t>
      </w:r>
    </w:p>
    <w:p>
      <w:pPr>
        <w:pStyle w:val="Heading2"/>
      </w:pPr>
      <w:r>
        <w:t>S4.8 Reproducibility artifacts and limits</w:t>
      </w:r>
    </w:p>
    <w:p>
      <w:r>
        <w:t>The accompanying experimental folder contains the fixed protocol and runner; development and qualification inputs and thresholds; controlled and source-restoration inputs; pair maps; original source spans; the semantic-alignment review; the reference erratum; complete raw model responses; the original-reference, corrected-reference and family-exclusion analyses; and metric-logic fixtures. The latter are implementation tests rather than model observations. The external manifests contain the file digests and immutable checkpoint identifiers. The archived superseded pilot and earlier failed interfaces are preserved separately and are not pooled into the qualified comparison.</w:t>
      </w:r>
    </w:p>
    <w:p>
      <w:r>
        <w:t>These diagnostics establish only the measured functions within their stated input policy. They do not estimate the frequency of evidence gaps in all applications, prove expert legal validity, automate rule extraction, resolve conflicting sources, or demonstrate reviewer-time or financial savings. AI-assisted source coding and synthetic construction are disclosed; no independent human expert annotation is claimed.</w:t>
      </w:r>
    </w:p>
    <w:p>
      <w:pPr>
        <w:pStyle w:val="Heading1"/>
      </w:pPr>
      <w:r>
        <w:t>S5 Historical experiments retained as diagnostic context</w:t>
      </w:r>
    </w:p>
    <w:p>
      <w:pPr>
        <w:pStyle w:val="Heading2"/>
      </w:pPr>
      <w:r>
        <w:t>S5.1 Targets, selection and frozen predictions</w:t>
      </w:r>
    </w:p>
    <w:p>
      <w:r>
        <w:t>These experiments precede the source audit reported in the article. They are preserved to expose failures and the development history, rather than used as evidence of a new predictive method. Their administrative target y and three-state historical evidence reference z must be kept separate. A logistic-regression classifier trained to y is not a matched evidence-audit comparator to a language model instructed to abstain when a necessary condition is unestablished. Binary A/B comparisons, native three-state outputs and direct JSON generation are therefore not pooled in the new functional analysis.</w:t>
      </w:r>
    </w:p>
    <w:p>
      <w:r>
        <w:t>The 86 historical pairs are grouped using common ruling, annotated rule family or near-duplicate descriptions. Canonicalization removes the described-in locator, lowercases and normalizes nonalphanumeric characters. Character TF–IDF similarities of at least 0.87 for rules or 0.90 for facts add links. Transitive components yield 45 groups in all 86 pairs and 41 in the compatible-code subset. Five stratified outer group folds use seed 20261007. Classical preprocessing and regularization selection occur within training data, with three inner group folds. Metrics use pooled held-out predictions and are then restricted to the named reporting subset. The exact-code subset is a composition sensitivity, not an independent test corpus.</w:t>
      </w:r>
    </w:p>
    <w:p>
      <w:r>
        <w:t>The historical interval procedure uses 2,000 percentile resamples of linked groups, holding predictions fixed. Paired contrasts share the same resampled groups. Draws lacking a necessary class have undefined balanced accuracy and are excluded with their valid count retained. This is conditional uncertainty within the selected corpus; it includes neither unknown selection probabilities nor refitting uncertainty. Additional grouped seeds, cross-office training and chronological splits remain sensitivity analyses. For word-plus-character models, the original and additional-seed primary balanced accuracies are 56.5%, 58.9%, 58.9% and 56.3%. Group-purged source transfer yields 33.9% for HQ-to-NY and 40.9% for NY-to-HQ, while the pre-2023 chronological model attains 37.5% on 22 later compatible-code pairs. These shifted comparisons combine changes in training size, class composition and text distribution.</w:t>
      </w:r>
    </w:p>
    <w:p>
      <w:r>
        <w:t>The original AI condition coding and a subsequent case-level reading agreed on 90.4% of cases, with Cohen's kappa 0.814. The second pass excluded administrative disposition, source, date and agency reasoning from its immediate input, but had prior project exposure. Both passes shared model lineage. The second was not a complete condition-span annotation, and the shared relay-rating error illustrates that agreement does not validate an interpretation. The final operational reconciliation retains both initial readings and subsequent corrections. None is independently validated legal gold.</w:t>
      </w:r>
    </w:p>
    <w:p>
      <w:pPr>
        <w:pStyle w:val="Heading2"/>
      </w:pPr>
      <w:r>
        <w:t>S5.2 Interface failures and restricted scores</w:t>
      </w:r>
    </w:p>
    <w:p>
      <w:r>
        <w:t>The compact model's orthogonal audit crosses six A/B/C meaning assignments with six display orders on nine ordinary-attribute items, yielding 324 executions. It returns the intended semantic state on 115 executions (35.5%). Letter counts are A 210, B 28 and C 86, while display-position counts are first 131, second 64 and third 129. This is interface sensitivity rather than a demonstrated account of internal model behavior. The older nine-item controls produce Qwen14 scores of 6/9 under ABC and 7/9 under JSON; Granite produces 5/9 and 4/9. These configurations were not qualified by the new gate and do not represent a general limit of the checkpoints or of decomposition.</w:t>
      </w:r>
    </w:p>
    <w:p>
      <w:r>
        <w:t>The old Granite extraction stage asks for literal-quoted requirements and an AND/OR/NOT tree. Its cache contains 55 unique rule scopes; only twelve pass the fixed structural and quote checks. The primary collection consequently has 61/73 invalid cases, compared with twelve valid cases. Output limits and truncated inputs do not explain these failures. A validator certifying a tree or a source quote does not certify completeness or exception scope. The new functional study supplies a checklist and does not claim to repair or outperform this automatic extractor.</w:t>
      </w:r>
    </w:p>
    <w:p>
      <w:pPr>
        <w:pStyle w:val="Heading2"/>
      </w:pPr>
      <w:r>
        <w:t>S5.3 Numeric execution and representation interventions</w:t>
      </w:r>
    </w:p>
    <w:p>
      <w:r>
        <w:t>The historical local test selects one quantitative clause from each of 60 official descriptions: 28 two-sided, 29 upper-bound and three lower-bound conditions. Eight slots per rule cover interior, boundary, outside, conversion, missing-measurement and straddling-interval behavior. Other requirements are satisfied by construction. The source-coded reference uses the printed values and exact arithmetic. Ambiguous alternatives and a source-unit anomaly are excluded; approximately stated values without a tolerance do not become exact measurements. A numeric interval represents uncertainty about one attribute, not a pool of distinct products or rating roles.</w:t>
      </w:r>
    </w:p>
    <w:p>
      <w:r>
        <w:t>The frozen executor obtains 466/480 correct slots (97.1%), 430/443 distinct rule–fact specifications and 422/435 distinct exact model inputs. The 60 source rules reduce to 59 literal clauses; resampling those literal clauses gives a 93.6–100.0% interval. Of 120 conversion slots, 112 change representation and eight are identity controls; 108/112 changes and all eight controls are correct. These results validate a local execution capability with standardized facts, rather than source extraction or complete legal applicability.</w:t>
      </w:r>
    </w:p>
    <w:p>
      <w:r>
        <w:t>The real-case intervention uses 43 numeric conditions in 33 pairs from 16 linked groups. The source-coded relay adapter explicitly retains discrete per-product ratings; this binding is unavailable to the original automatic extractor. Internal match with reference rules and fields is consequently a consistency check partly defined by that same representation. For reproducible comparison with the original evaluator, not_parsed is normalized to unknown. Removing the fifteen-pair largest family does not remove the extraction loss.</w:t>
      </w:r>
    </w:p>
    <w:p>
      <w:pPr>
        <w:keepNext/>
      </w:pPr>
      <w:r>
        <w:rPr>
          <w:b/>
        </w:rPr>
        <w:t>Table S5.1 Historical numeric representation interventions</w:t>
      </w:r>
    </w:p>
    <w:tbl>
      <w:tblPr>
        <w:tblW w:type="auto" w:w="0"/>
        <w:jc w:val="center"/>
        <w:tblLayout w:type="fixed"/>
        <w:tblLook w:firstColumn="1" w:firstRow="1" w:lastColumn="0" w:lastRow="0" w:noHBand="0" w:noVBand="1" w:val="04A0"/>
        <w:tblBorders>
          <w:top w:val="single" w:sz="7" w:color="404040"/>
          <w:bottom w:val="single" w:sz="7" w:color="404040"/>
          <w:left w:val="nil" w:sz="0" w:color="404040"/>
          <w:right w:val="nil" w:sz="0" w:color="404040"/>
          <w:insideH w:val="nil" w:sz="0" w:color="404040"/>
          <w:insideV w:val="nil" w:sz="0" w:color="404040"/>
        </w:tblBorders>
        <w:tblLayout w:type="fixed"/>
      </w:tblPr>
      <w:tblGrid>
        <w:gridCol w:w="2347"/>
        <w:gridCol w:w="1858"/>
        <w:gridCol w:w="1656"/>
        <w:gridCol w:w="3859"/>
      </w:tblGrid>
      <w:tr>
        <w:trPr>
          <w:cantSplit/>
          <w:tblHeader/>
        </w:trPr>
        <w:tc>
          <w:tcPr>
            <w:tcW w:type="dxa" w:w="2347"/>
            <w:vAlign w:val="center"/>
            <w:tcBorders>
              <w:bottom w:val="single" w:sz="5" w:color="404040"/>
            </w:tcBorders>
          </w:tcPr>
          <w:p>
            <w:pPr>
              <w:keepNext/>
              <w:spacing w:after="80" w:before="80" w:line="252" w:lineRule="auto"/>
            </w:pPr>
            <w:r>
              <w:rPr>
                <w:rFonts w:ascii="Arial" w:hAnsi="Arial"/>
                <w:b/>
                <w:sz w:val="19"/>
              </w:rPr>
              <w:t>Rule representation</w:t>
            </w:r>
          </w:p>
        </w:tc>
        <w:tc>
          <w:tcPr>
            <w:tcW w:type="dxa" w:w="1858"/>
            <w:vAlign w:val="center"/>
            <w:tcBorders>
              <w:bottom w:val="single" w:sz="5" w:color="404040"/>
            </w:tcBorders>
          </w:tcPr>
          <w:p>
            <w:pPr>
              <w:keepNext/>
              <w:spacing w:after="80" w:before="80" w:line="252" w:lineRule="auto"/>
            </w:pPr>
            <w:r>
              <w:rPr>
                <w:rFonts w:ascii="Arial" w:hAnsi="Arial"/>
                <w:b/>
                <w:sz w:val="19"/>
              </w:rPr>
              <w:t>Factual fields</w:t>
            </w:r>
          </w:p>
        </w:tc>
        <w:tc>
          <w:tcPr>
            <w:tcW w:type="dxa" w:w="1656"/>
            <w:vAlign w:val="center"/>
            <w:tcBorders>
              <w:bottom w:val="single" w:sz="5" w:color="404040"/>
            </w:tcBorders>
          </w:tcPr>
          <w:p>
            <w:pPr>
              <w:keepNext/>
              <w:spacing w:after="80" w:before="80" w:line="252" w:lineRule="auto"/>
            </w:pPr>
            <w:r>
              <w:rPr>
                <w:rFonts w:ascii="Arial" w:hAnsi="Arial"/>
                <w:b/>
                <w:sz w:val="19"/>
              </w:rPr>
              <w:t>Matches / 33</w:t>
            </w:r>
          </w:p>
        </w:tc>
        <w:tc>
          <w:tcPr>
            <w:tcW w:type="dxa" w:w="3859"/>
            <w:vAlign w:val="center"/>
            <w:tcBorders>
              <w:bottom w:val="single" w:sz="5" w:color="404040"/>
            </w:tcBorders>
          </w:tcPr>
          <w:p>
            <w:pPr>
              <w:keepNext/>
              <w:spacing w:after="80" w:before="80" w:line="252" w:lineRule="auto"/>
            </w:pPr>
            <w:r>
              <w:rPr>
                <w:rFonts w:ascii="Arial" w:hAnsi="Arial"/>
                <w:b/>
                <w:sz w:val="19"/>
              </w:rPr>
              <w:t>Matches excluding largest family / 18</w:t>
            </w:r>
          </w:p>
        </w:tc>
      </w:tr>
      <w:tr>
        <w:trPr>
          <w:cantSplit/>
        </w:trPr>
        <w:tc>
          <w:tcPr>
            <w:tcW w:type="dxa" w:w="2347"/>
            <w:vAlign w:val="center"/>
          </w:tcPr>
          <w:p>
            <w:pPr>
              <w:spacing w:after="80" w:before="80" w:line="252" w:lineRule="auto"/>
            </w:pPr>
            <w:r>
              <w:rPr>
                <w:rFonts w:ascii="Arial" w:hAnsi="Arial"/>
                <w:sz w:val="19"/>
              </w:rPr>
              <w:t>Reference</w:t>
            </w:r>
          </w:p>
        </w:tc>
        <w:tc>
          <w:tcPr>
            <w:tcW w:type="dxa" w:w="1858"/>
            <w:vAlign w:val="center"/>
          </w:tcPr>
          <w:p>
            <w:pPr>
              <w:spacing w:after="80" w:before="80" w:line="252" w:lineRule="auto"/>
            </w:pPr>
            <w:r>
              <w:rPr>
                <w:rFonts w:ascii="Arial" w:hAnsi="Arial"/>
                <w:sz w:val="19"/>
              </w:rPr>
              <w:t>Reference</w:t>
            </w:r>
          </w:p>
        </w:tc>
        <w:tc>
          <w:tcPr>
            <w:tcW w:type="dxa" w:w="1656"/>
            <w:vAlign w:val="center"/>
          </w:tcPr>
          <w:p>
            <w:pPr>
              <w:spacing w:after="80" w:before="80" w:line="252" w:lineRule="auto"/>
            </w:pPr>
            <w:r>
              <w:rPr>
                <w:rFonts w:ascii="Arial" w:hAnsi="Arial"/>
                <w:sz w:val="19"/>
              </w:rPr>
              <w:t>33</w:t>
            </w:r>
          </w:p>
        </w:tc>
        <w:tc>
          <w:tcPr>
            <w:tcW w:type="dxa" w:w="3859"/>
            <w:vAlign w:val="center"/>
          </w:tcPr>
          <w:p>
            <w:pPr>
              <w:spacing w:after="80" w:before="80" w:line="252" w:lineRule="auto"/>
            </w:pPr>
            <w:r>
              <w:rPr>
                <w:rFonts w:ascii="Arial" w:hAnsi="Arial"/>
                <w:sz w:val="19"/>
              </w:rPr>
              <w:t>18</w:t>
            </w:r>
          </w:p>
        </w:tc>
      </w:tr>
      <w:tr>
        <w:trPr>
          <w:cantSplit/>
        </w:trPr>
        <w:tc>
          <w:tcPr>
            <w:tcW w:type="dxa" w:w="2347"/>
            <w:vAlign w:val="center"/>
          </w:tcPr>
          <w:p>
            <w:pPr>
              <w:spacing w:after="80" w:before="80" w:line="252" w:lineRule="auto"/>
            </w:pPr>
            <w:r>
              <w:rPr>
                <w:rFonts w:ascii="Arial" w:hAnsi="Arial"/>
                <w:sz w:val="19"/>
              </w:rPr>
              <w:t>Automatic</w:t>
            </w:r>
          </w:p>
        </w:tc>
        <w:tc>
          <w:tcPr>
            <w:tcW w:type="dxa" w:w="1858"/>
            <w:vAlign w:val="center"/>
          </w:tcPr>
          <w:p>
            <w:pPr>
              <w:spacing w:after="80" w:before="80" w:line="252" w:lineRule="auto"/>
            </w:pPr>
            <w:r>
              <w:rPr>
                <w:rFonts w:ascii="Arial" w:hAnsi="Arial"/>
                <w:sz w:val="19"/>
              </w:rPr>
              <w:t>Reference</w:t>
            </w:r>
          </w:p>
        </w:tc>
        <w:tc>
          <w:tcPr>
            <w:tcW w:type="dxa" w:w="1656"/>
            <w:vAlign w:val="center"/>
          </w:tcPr>
          <w:p>
            <w:pPr>
              <w:spacing w:after="80" w:before="80" w:line="252" w:lineRule="auto"/>
            </w:pPr>
            <w:r>
              <w:rPr>
                <w:rFonts w:ascii="Arial" w:hAnsi="Arial"/>
                <w:sz w:val="19"/>
              </w:rPr>
              <w:t>30</w:t>
            </w:r>
          </w:p>
        </w:tc>
        <w:tc>
          <w:tcPr>
            <w:tcW w:type="dxa" w:w="3859"/>
            <w:vAlign w:val="center"/>
          </w:tcPr>
          <w:p>
            <w:pPr>
              <w:spacing w:after="80" w:before="80" w:line="252" w:lineRule="auto"/>
            </w:pPr>
            <w:r>
              <w:rPr>
                <w:rFonts w:ascii="Arial" w:hAnsi="Arial"/>
                <w:sz w:val="19"/>
              </w:rPr>
              <w:t>15</w:t>
            </w:r>
          </w:p>
        </w:tc>
      </w:tr>
      <w:tr>
        <w:trPr>
          <w:cantSplit/>
        </w:trPr>
        <w:tc>
          <w:tcPr>
            <w:tcW w:type="dxa" w:w="2347"/>
            <w:vAlign w:val="center"/>
          </w:tcPr>
          <w:p>
            <w:pPr>
              <w:spacing w:after="80" w:before="80" w:line="252" w:lineRule="auto"/>
            </w:pPr>
            <w:r>
              <w:rPr>
                <w:rFonts w:ascii="Arial" w:hAnsi="Arial"/>
                <w:sz w:val="19"/>
              </w:rPr>
              <w:t>Reference</w:t>
            </w:r>
          </w:p>
        </w:tc>
        <w:tc>
          <w:tcPr>
            <w:tcW w:type="dxa" w:w="1858"/>
            <w:vAlign w:val="center"/>
          </w:tcPr>
          <w:p>
            <w:pPr>
              <w:spacing w:after="80" w:before="80" w:line="252" w:lineRule="auto"/>
            </w:pPr>
            <w:r>
              <w:rPr>
                <w:rFonts w:ascii="Arial" w:hAnsi="Arial"/>
                <w:sz w:val="19"/>
              </w:rPr>
              <w:t>Automatic</w:t>
            </w:r>
          </w:p>
        </w:tc>
        <w:tc>
          <w:tcPr>
            <w:tcW w:type="dxa" w:w="1656"/>
            <w:vAlign w:val="center"/>
          </w:tcPr>
          <w:p>
            <w:pPr>
              <w:spacing w:after="80" w:before="80" w:line="252" w:lineRule="auto"/>
            </w:pPr>
            <w:r>
              <w:rPr>
                <w:rFonts w:ascii="Arial" w:hAnsi="Arial"/>
                <w:sz w:val="19"/>
              </w:rPr>
              <w:t>17</w:t>
            </w:r>
          </w:p>
        </w:tc>
        <w:tc>
          <w:tcPr>
            <w:tcW w:type="dxa" w:w="3859"/>
            <w:vAlign w:val="center"/>
          </w:tcPr>
          <w:p>
            <w:pPr>
              <w:spacing w:after="80" w:before="80" w:line="252" w:lineRule="auto"/>
            </w:pPr>
            <w:r>
              <w:rPr>
                <w:rFonts w:ascii="Arial" w:hAnsi="Arial"/>
                <w:sz w:val="19"/>
              </w:rPr>
              <w:t>9</w:t>
            </w:r>
          </w:p>
        </w:tc>
      </w:tr>
      <w:tr>
        <w:trPr>
          <w:cantSplit/>
        </w:trPr>
        <w:tc>
          <w:tcPr>
            <w:tcW w:type="dxa" w:w="2347"/>
            <w:vAlign w:val="center"/>
          </w:tcPr>
          <w:p>
            <w:pPr>
              <w:spacing w:after="80" w:before="80" w:line="252" w:lineRule="auto"/>
            </w:pPr>
            <w:r>
              <w:rPr>
                <w:rFonts w:ascii="Arial" w:hAnsi="Arial"/>
                <w:sz w:val="19"/>
              </w:rPr>
              <w:t>Automatic</w:t>
            </w:r>
          </w:p>
        </w:tc>
        <w:tc>
          <w:tcPr>
            <w:tcW w:type="dxa" w:w="1858"/>
            <w:vAlign w:val="center"/>
          </w:tcPr>
          <w:p>
            <w:pPr>
              <w:spacing w:after="80" w:before="80" w:line="252" w:lineRule="auto"/>
            </w:pPr>
            <w:r>
              <w:rPr>
                <w:rFonts w:ascii="Arial" w:hAnsi="Arial"/>
                <w:sz w:val="19"/>
              </w:rPr>
              <w:t>Automatic</w:t>
            </w:r>
          </w:p>
        </w:tc>
        <w:tc>
          <w:tcPr>
            <w:tcW w:type="dxa" w:w="1656"/>
            <w:vAlign w:val="center"/>
          </w:tcPr>
          <w:p>
            <w:pPr>
              <w:spacing w:after="80" w:before="80" w:line="252" w:lineRule="auto"/>
            </w:pPr>
            <w:r>
              <w:rPr>
                <w:rFonts w:ascii="Arial" w:hAnsi="Arial"/>
                <w:sz w:val="19"/>
              </w:rPr>
              <w:t>17</w:t>
            </w:r>
          </w:p>
        </w:tc>
        <w:tc>
          <w:tcPr>
            <w:tcW w:type="dxa" w:w="3859"/>
            <w:vAlign w:val="center"/>
          </w:tcPr>
          <w:p>
            <w:pPr>
              <w:spacing w:after="80" w:before="80" w:line="252" w:lineRule="auto"/>
            </w:pPr>
            <w:r>
              <w:rPr>
                <w:rFonts w:ascii="Arial" w:hAnsi="Arial"/>
                <w:sz w:val="19"/>
              </w:rPr>
              <w:t>9</w:t>
            </w:r>
          </w:p>
        </w:tc>
      </w:tr>
    </w:tbl>
    <w:p>
      <w:pPr>
        <w:spacing w:after="20"/>
      </w:pPr>
    </w:p>
    <w:p>
      <w:r>
        <w:t>Of 23 local numeric passes, five have historically supported whole-description evidence and eighteen remain unknown. Seven local unknowns are also whole-description unknown, while three numeric violations coincide with whole-description refutation. A subsequent parser reaches 24/33 on these inspected cases, after its first repair exposed another approximation defect. The initial repair summary and the final source code and case-level predictions remain available; a complete executable snapshot and all case-level predictions of the initial repair were not retained. This is development performance; changing the code and reevaluating the same cases does not supply unseen-case validation.</w:t>
      </w:r>
    </w:p>
    <w:p>
      <w:r>
        <w:t>The older mechanism experiment contains 96 slots, 88 distinct exact inputs and 48 paired comparisons in twelve families. It is distinct from the new 108-input, 96-relation study. It includes model identifiers, component binding, mass versus capacity, comparative reports, unit equivalence, compound units, strict bounds, dimensions, disjunctions, nested exceptions and measurement uncertainty. A documented wording correction to eight component-binding inputs and its earlier predictions are retained. These materials were inspected during parser development and remain development diagnostics.</w:t>
      </w:r>
    </w:p>
    <w:p>
      <w:pPr>
        <w:pStyle w:val="Heading2"/>
      </w:pPr>
      <w:r>
        <w:t>S5.4 Guard policy and hypothetical review costs</w:t>
      </w:r>
    </w:p>
    <w:p>
      <w:r>
        <w:t>The frozen guard corrects no administrative binary error in the primary comparison. For Qwen4 it changes native coverage from 67/73 to 47/73. Answered administrative disagreement changes from 34.3% to 31.9%, with a paired difference interval of −9.0 to 4.6 percentage points; this does not establish improved retained error. Among the five historical refutations, three correct Qwen4 negatives become one correct negative after fusion. The losses occur for H318593_2 and N307161. The former has a 6,000 lb capacity above 550 kg; the latter's stated dimensions of 140 × 150 × 86 mm differ from a candidate description measuring 148 mm in length, 43 mm in width and 335 mm in height. That description states dimensions, not upper-bound ceilings. Unparsed numeric output triggered an unknown override. This is a fusion choice, distinct from the signed-conjunction rule under which a verified refutation remains decisive.</w:t>
      </w:r>
    </w:p>
    <w:p>
      <w:r>
        <w:t>No comparison treats an unverified language-model negative as established source evidence. Whether to refer such a negative is a separate review policy. Likewise, referral is an action, not a correct legal answer. The five-refutation class is small: one changed case alters its recall by twenty percentage points and three-class macro recall by 6.67 points. Fine model rankings are therefore inappropriate.</w:t>
      </w:r>
    </w:p>
    <w:p>
      <w:r>
        <w:t>The guarded Qwen4 example has five false grants, ten false denials and 26 referrals relative to administrative labels. With false-grant cost cg, false-denial cost cd and referral cost cr, its hypothetical mean loss is (5cg + 10cd + 26cr) / 73. Review-all loss is cr, so the guard is preferable only when cr &gt; (5cg + 10cd) / 47. For cg = 5 and cd = 1, the threshold is 0.74468. At cr = 0.5, guarded loss is 0.65753 and review-all loss 0.5. This assumes that referral resolves every case correctly at fixed cost. It omits residual review error, capacity limits and actual legal or monetary consequences. The preserved complete cost grid below is a sensitivity calculation, not an economic benefit estimate.</w:t>
      </w:r>
    </w:p>
    <w:p>
      <w:pPr>
        <w:pStyle w:val="Heading2"/>
      </w:pPr>
      <w:r>
        <w:t>S5.5 Historical fold composition and test units</w:t>
      </w:r>
    </w:p>
    <w:p>
      <w:pPr>
        <w:keepNext/>
      </w:pPr>
      <w:r>
        <w:rPr>
          <w:b/>
        </w:rPr>
        <w:t>Table S5.2 Test-fold composition</w:t>
      </w:r>
    </w:p>
    <w:tbl>
      <w:tblPr>
        <w:tblW w:type="auto" w:w="0"/>
        <w:jc w:val="center"/>
        <w:tblLayout w:type="fixed"/>
        <w:tblLook w:firstColumn="1" w:firstRow="1" w:lastColumn="0" w:lastRow="0" w:noHBand="0" w:noVBand="1" w:val="04A0"/>
        <w:tblBorders>
          <w:top w:val="single" w:sz="7" w:color="404040"/>
          <w:bottom w:val="single" w:sz="7" w:color="404040"/>
          <w:left w:val="nil" w:sz="0" w:color="404040"/>
          <w:right w:val="nil" w:sz="0" w:color="404040"/>
          <w:insideH w:val="nil" w:sz="0" w:color="404040"/>
          <w:insideV w:val="nil" w:sz="0" w:color="404040"/>
        </w:tblBorders>
        <w:tblLayout w:type="fixed"/>
      </w:tblPr>
      <w:tblGrid>
        <w:gridCol w:w="2102"/>
        <w:gridCol w:w="1080"/>
        <w:gridCol w:w="1253"/>
        <w:gridCol w:w="1771"/>
        <w:gridCol w:w="2102"/>
        <w:gridCol w:w="1426"/>
      </w:tblGrid>
      <w:tr>
        <w:trPr>
          <w:cantSplit/>
          <w:tblHeader/>
        </w:trPr>
        <w:tc>
          <w:tcPr>
            <w:tcW w:type="dxa" w:w="2102"/>
            <w:vAlign w:val="center"/>
            <w:tcBorders>
              <w:bottom w:val="single" w:sz="5" w:color="404040"/>
            </w:tcBorders>
          </w:tcPr>
          <w:p>
            <w:pPr>
              <w:keepNext/>
              <w:spacing w:after="80" w:before="80" w:line="252" w:lineRule="auto"/>
            </w:pPr>
            <w:r>
              <w:rPr>
                <w:rFonts w:ascii="Arial" w:hAnsi="Arial"/>
                <w:b/>
                <w:sz w:val="19"/>
              </w:rPr>
              <w:t>Subset</w:t>
            </w:r>
          </w:p>
        </w:tc>
        <w:tc>
          <w:tcPr>
            <w:tcW w:type="dxa" w:w="1080"/>
            <w:vAlign w:val="center"/>
            <w:tcBorders>
              <w:bottom w:val="single" w:sz="5" w:color="404040"/>
            </w:tcBorders>
          </w:tcPr>
          <w:p>
            <w:pPr>
              <w:keepNext/>
              <w:spacing w:after="80" w:before="80" w:line="252" w:lineRule="auto"/>
            </w:pPr>
            <w:r>
              <w:rPr>
                <w:rFonts w:ascii="Arial" w:hAnsi="Arial"/>
                <w:b/>
                <w:sz w:val="19"/>
              </w:rPr>
              <w:t>Fold</w:t>
            </w:r>
          </w:p>
        </w:tc>
        <w:tc>
          <w:tcPr>
            <w:tcW w:type="dxa" w:w="1253"/>
            <w:vAlign w:val="center"/>
            <w:tcBorders>
              <w:bottom w:val="single" w:sz="5" w:color="404040"/>
            </w:tcBorders>
          </w:tcPr>
          <w:p>
            <w:pPr>
              <w:keepNext/>
              <w:spacing w:after="80" w:before="80" w:line="252" w:lineRule="auto"/>
            </w:pPr>
            <w:r>
              <w:rPr>
                <w:rFonts w:ascii="Arial" w:hAnsi="Arial"/>
                <w:b/>
                <w:sz w:val="19"/>
              </w:rPr>
              <w:t>Pairs</w:t>
            </w:r>
          </w:p>
        </w:tc>
        <w:tc>
          <w:tcPr>
            <w:tcW w:type="dxa" w:w="1771"/>
            <w:vAlign w:val="center"/>
            <w:tcBorders>
              <w:bottom w:val="single" w:sz="5" w:color="404040"/>
            </w:tcBorders>
          </w:tcPr>
          <w:p>
            <w:pPr>
              <w:keepNext/>
              <w:spacing w:after="80" w:before="80" w:line="252" w:lineRule="auto"/>
            </w:pPr>
            <w:r>
              <w:rPr>
                <w:rFonts w:ascii="Arial" w:hAnsi="Arial"/>
                <w:b/>
                <w:sz w:val="19"/>
              </w:rPr>
              <w:t>Eligible</w:t>
            </w:r>
          </w:p>
        </w:tc>
        <w:tc>
          <w:tcPr>
            <w:tcW w:type="dxa" w:w="2102"/>
            <w:vAlign w:val="center"/>
            <w:tcBorders>
              <w:bottom w:val="single" w:sz="5" w:color="404040"/>
            </w:tcBorders>
          </w:tcPr>
          <w:p>
            <w:pPr>
              <w:keepNext/>
              <w:spacing w:after="80" w:before="80" w:line="252" w:lineRule="auto"/>
            </w:pPr>
            <w:r>
              <w:rPr>
                <w:rFonts w:ascii="Arial" w:hAnsi="Arial"/>
                <w:b/>
                <w:sz w:val="19"/>
              </w:rPr>
              <w:t>Ineligible</w:t>
            </w:r>
          </w:p>
        </w:tc>
        <w:tc>
          <w:tcPr>
            <w:tcW w:type="dxa" w:w="1426"/>
            <w:vAlign w:val="center"/>
            <w:tcBorders>
              <w:bottom w:val="single" w:sz="5" w:color="404040"/>
            </w:tcBorders>
          </w:tcPr>
          <w:p>
            <w:pPr>
              <w:keepNext/>
              <w:spacing w:after="80" w:before="80" w:line="252" w:lineRule="auto"/>
            </w:pPr>
            <w:r>
              <w:rPr>
                <w:rFonts w:ascii="Arial" w:hAnsi="Arial"/>
                <w:b/>
                <w:sz w:val="19"/>
              </w:rPr>
              <w:t>Groups</w:t>
            </w:r>
          </w:p>
        </w:tc>
      </w:tr>
      <w:tr>
        <w:trPr>
          <w:cantSplit/>
        </w:trPr>
        <w:tc>
          <w:tcPr>
            <w:tcW w:type="dxa" w:w="2102"/>
            <w:vAlign w:val="center"/>
          </w:tcPr>
          <w:p>
            <w:pPr>
              <w:spacing w:after="80" w:before="80" w:line="252" w:lineRule="auto"/>
            </w:pPr>
            <w:r>
              <w:rPr>
                <w:rFonts w:ascii="Arial" w:hAnsi="Arial"/>
                <w:sz w:val="19"/>
              </w:rPr>
              <w:t>All 86</w:t>
            </w:r>
          </w:p>
        </w:tc>
        <w:tc>
          <w:tcPr>
            <w:tcW w:type="dxa" w:w="1080"/>
            <w:vAlign w:val="center"/>
          </w:tcPr>
          <w:p>
            <w:pPr>
              <w:spacing w:after="80" w:before="80" w:line="252" w:lineRule="auto"/>
            </w:pPr>
            <w:r>
              <w:rPr>
                <w:rFonts w:ascii="Arial" w:hAnsi="Arial"/>
                <w:sz w:val="19"/>
              </w:rPr>
              <w:t>1</w:t>
            </w:r>
          </w:p>
        </w:tc>
        <w:tc>
          <w:tcPr>
            <w:tcW w:type="dxa" w:w="1253"/>
            <w:vAlign w:val="center"/>
          </w:tcPr>
          <w:p>
            <w:pPr>
              <w:spacing w:after="80" w:before="80" w:line="252" w:lineRule="auto"/>
            </w:pPr>
            <w:r>
              <w:rPr>
                <w:rFonts w:ascii="Arial" w:hAnsi="Arial"/>
                <w:sz w:val="19"/>
              </w:rPr>
              <w:t>17</w:t>
            </w:r>
          </w:p>
        </w:tc>
        <w:tc>
          <w:tcPr>
            <w:tcW w:type="dxa" w:w="1771"/>
            <w:vAlign w:val="center"/>
          </w:tcPr>
          <w:p>
            <w:pPr>
              <w:spacing w:after="80" w:before="80" w:line="252" w:lineRule="auto"/>
            </w:pPr>
            <w:r>
              <w:rPr>
                <w:rFonts w:ascii="Arial" w:hAnsi="Arial"/>
                <w:sz w:val="19"/>
              </w:rPr>
              <w:t>10</w:t>
            </w:r>
          </w:p>
        </w:tc>
        <w:tc>
          <w:tcPr>
            <w:tcW w:type="dxa" w:w="2102"/>
            <w:vAlign w:val="center"/>
          </w:tcPr>
          <w:p>
            <w:pPr>
              <w:spacing w:after="80" w:before="80" w:line="252" w:lineRule="auto"/>
            </w:pPr>
            <w:r>
              <w:rPr>
                <w:rFonts w:ascii="Arial" w:hAnsi="Arial"/>
                <w:sz w:val="19"/>
              </w:rPr>
              <w:t>7</w:t>
            </w:r>
          </w:p>
        </w:tc>
        <w:tc>
          <w:tcPr>
            <w:tcW w:type="dxa" w:w="1426"/>
            <w:vAlign w:val="center"/>
          </w:tcPr>
          <w:p>
            <w:pPr>
              <w:spacing w:after="80" w:before="80" w:line="252" w:lineRule="auto"/>
            </w:pPr>
            <w:r>
              <w:rPr>
                <w:rFonts w:ascii="Arial" w:hAnsi="Arial"/>
                <w:sz w:val="19"/>
              </w:rPr>
              <w:t>3</w:t>
            </w:r>
          </w:p>
        </w:tc>
      </w:tr>
      <w:tr>
        <w:trPr>
          <w:cantSplit/>
        </w:trPr>
        <w:tc>
          <w:tcPr>
            <w:tcW w:type="dxa" w:w="2102"/>
            <w:vAlign w:val="center"/>
          </w:tcPr>
          <w:p>
            <w:pPr>
              <w:spacing w:after="80" w:before="80" w:line="252" w:lineRule="auto"/>
            </w:pPr>
            <w:r>
              <w:rPr>
                <w:rFonts w:ascii="Arial" w:hAnsi="Arial"/>
                <w:sz w:val="19"/>
              </w:rPr>
              <w:t>All 86</w:t>
            </w:r>
          </w:p>
        </w:tc>
        <w:tc>
          <w:tcPr>
            <w:tcW w:type="dxa" w:w="1080"/>
            <w:vAlign w:val="center"/>
          </w:tcPr>
          <w:p>
            <w:pPr>
              <w:spacing w:after="80" w:before="80" w:line="252" w:lineRule="auto"/>
            </w:pPr>
            <w:r>
              <w:rPr>
                <w:rFonts w:ascii="Arial" w:hAnsi="Arial"/>
                <w:sz w:val="19"/>
              </w:rPr>
              <w:t>2</w:t>
            </w:r>
          </w:p>
        </w:tc>
        <w:tc>
          <w:tcPr>
            <w:tcW w:type="dxa" w:w="1253"/>
            <w:vAlign w:val="center"/>
          </w:tcPr>
          <w:p>
            <w:pPr>
              <w:spacing w:after="80" w:before="80" w:line="252" w:lineRule="auto"/>
            </w:pPr>
            <w:r>
              <w:rPr>
                <w:rFonts w:ascii="Arial" w:hAnsi="Arial"/>
                <w:sz w:val="19"/>
              </w:rPr>
              <w:t>18</w:t>
            </w:r>
          </w:p>
        </w:tc>
        <w:tc>
          <w:tcPr>
            <w:tcW w:type="dxa" w:w="1771"/>
            <w:vAlign w:val="center"/>
          </w:tcPr>
          <w:p>
            <w:pPr>
              <w:spacing w:after="80" w:before="80" w:line="252" w:lineRule="auto"/>
            </w:pPr>
            <w:r>
              <w:rPr>
                <w:rFonts w:ascii="Arial" w:hAnsi="Arial"/>
                <w:sz w:val="19"/>
              </w:rPr>
              <w:t>10</w:t>
            </w:r>
          </w:p>
        </w:tc>
        <w:tc>
          <w:tcPr>
            <w:tcW w:type="dxa" w:w="2102"/>
            <w:vAlign w:val="center"/>
          </w:tcPr>
          <w:p>
            <w:pPr>
              <w:spacing w:after="80" w:before="80" w:line="252" w:lineRule="auto"/>
            </w:pPr>
            <w:r>
              <w:rPr>
                <w:rFonts w:ascii="Arial" w:hAnsi="Arial"/>
                <w:sz w:val="19"/>
              </w:rPr>
              <w:t>8</w:t>
            </w:r>
          </w:p>
        </w:tc>
        <w:tc>
          <w:tcPr>
            <w:tcW w:type="dxa" w:w="1426"/>
            <w:vAlign w:val="center"/>
          </w:tcPr>
          <w:p>
            <w:pPr>
              <w:spacing w:after="80" w:before="80" w:line="252" w:lineRule="auto"/>
            </w:pPr>
            <w:r>
              <w:rPr>
                <w:rFonts w:ascii="Arial" w:hAnsi="Arial"/>
                <w:sz w:val="19"/>
              </w:rPr>
              <w:t>11</w:t>
            </w:r>
          </w:p>
        </w:tc>
      </w:tr>
      <w:tr>
        <w:trPr>
          <w:cantSplit/>
        </w:trPr>
        <w:tc>
          <w:tcPr>
            <w:tcW w:type="dxa" w:w="2102"/>
            <w:vAlign w:val="center"/>
          </w:tcPr>
          <w:p>
            <w:pPr>
              <w:spacing w:after="80" w:before="80" w:line="252" w:lineRule="auto"/>
            </w:pPr>
            <w:r>
              <w:rPr>
                <w:rFonts w:ascii="Arial" w:hAnsi="Arial"/>
                <w:sz w:val="19"/>
              </w:rPr>
              <w:t>All 86</w:t>
            </w:r>
          </w:p>
        </w:tc>
        <w:tc>
          <w:tcPr>
            <w:tcW w:type="dxa" w:w="1080"/>
            <w:vAlign w:val="center"/>
          </w:tcPr>
          <w:p>
            <w:pPr>
              <w:spacing w:after="80" w:before="80" w:line="252" w:lineRule="auto"/>
            </w:pPr>
            <w:r>
              <w:rPr>
                <w:rFonts w:ascii="Arial" w:hAnsi="Arial"/>
                <w:sz w:val="19"/>
              </w:rPr>
              <w:t>3</w:t>
            </w:r>
          </w:p>
        </w:tc>
        <w:tc>
          <w:tcPr>
            <w:tcW w:type="dxa" w:w="1253"/>
            <w:vAlign w:val="center"/>
          </w:tcPr>
          <w:p>
            <w:pPr>
              <w:spacing w:after="80" w:before="80" w:line="252" w:lineRule="auto"/>
            </w:pPr>
            <w:r>
              <w:rPr>
                <w:rFonts w:ascii="Arial" w:hAnsi="Arial"/>
                <w:sz w:val="19"/>
              </w:rPr>
              <w:t>17</w:t>
            </w:r>
          </w:p>
        </w:tc>
        <w:tc>
          <w:tcPr>
            <w:tcW w:type="dxa" w:w="1771"/>
            <w:vAlign w:val="center"/>
          </w:tcPr>
          <w:p>
            <w:pPr>
              <w:spacing w:after="80" w:before="80" w:line="252" w:lineRule="auto"/>
            </w:pPr>
            <w:r>
              <w:rPr>
                <w:rFonts w:ascii="Arial" w:hAnsi="Arial"/>
                <w:sz w:val="19"/>
              </w:rPr>
              <w:t>9</w:t>
            </w:r>
          </w:p>
        </w:tc>
        <w:tc>
          <w:tcPr>
            <w:tcW w:type="dxa" w:w="2102"/>
            <w:vAlign w:val="center"/>
          </w:tcPr>
          <w:p>
            <w:pPr>
              <w:spacing w:after="80" w:before="80" w:line="252" w:lineRule="auto"/>
            </w:pPr>
            <w:r>
              <w:rPr>
                <w:rFonts w:ascii="Arial" w:hAnsi="Arial"/>
                <w:sz w:val="19"/>
              </w:rPr>
              <w:t>8</w:t>
            </w:r>
          </w:p>
        </w:tc>
        <w:tc>
          <w:tcPr>
            <w:tcW w:type="dxa" w:w="1426"/>
            <w:vAlign w:val="center"/>
          </w:tcPr>
          <w:p>
            <w:pPr>
              <w:spacing w:after="80" w:before="80" w:line="252" w:lineRule="auto"/>
            </w:pPr>
            <w:r>
              <w:rPr>
                <w:rFonts w:ascii="Arial" w:hAnsi="Arial"/>
                <w:sz w:val="19"/>
              </w:rPr>
              <w:t>11</w:t>
            </w:r>
          </w:p>
        </w:tc>
      </w:tr>
      <w:tr>
        <w:trPr>
          <w:cantSplit/>
        </w:trPr>
        <w:tc>
          <w:tcPr>
            <w:tcW w:type="dxa" w:w="2102"/>
            <w:vAlign w:val="center"/>
          </w:tcPr>
          <w:p>
            <w:pPr>
              <w:spacing w:after="80" w:before="80" w:line="252" w:lineRule="auto"/>
            </w:pPr>
            <w:r>
              <w:rPr>
                <w:rFonts w:ascii="Arial" w:hAnsi="Arial"/>
                <w:sz w:val="19"/>
              </w:rPr>
              <w:t>All 86</w:t>
            </w:r>
          </w:p>
        </w:tc>
        <w:tc>
          <w:tcPr>
            <w:tcW w:type="dxa" w:w="1080"/>
            <w:vAlign w:val="center"/>
          </w:tcPr>
          <w:p>
            <w:pPr>
              <w:spacing w:after="80" w:before="80" w:line="252" w:lineRule="auto"/>
            </w:pPr>
            <w:r>
              <w:rPr>
                <w:rFonts w:ascii="Arial" w:hAnsi="Arial"/>
                <w:sz w:val="19"/>
              </w:rPr>
              <w:t>4</w:t>
            </w:r>
          </w:p>
        </w:tc>
        <w:tc>
          <w:tcPr>
            <w:tcW w:type="dxa" w:w="1253"/>
            <w:vAlign w:val="center"/>
          </w:tcPr>
          <w:p>
            <w:pPr>
              <w:spacing w:after="80" w:before="80" w:line="252" w:lineRule="auto"/>
            </w:pPr>
            <w:r>
              <w:rPr>
                <w:rFonts w:ascii="Arial" w:hAnsi="Arial"/>
                <w:sz w:val="19"/>
              </w:rPr>
              <w:t>17</w:t>
            </w:r>
          </w:p>
        </w:tc>
        <w:tc>
          <w:tcPr>
            <w:tcW w:type="dxa" w:w="1771"/>
            <w:vAlign w:val="center"/>
          </w:tcPr>
          <w:p>
            <w:pPr>
              <w:spacing w:after="80" w:before="80" w:line="252" w:lineRule="auto"/>
            </w:pPr>
            <w:r>
              <w:rPr>
                <w:rFonts w:ascii="Arial" w:hAnsi="Arial"/>
                <w:sz w:val="19"/>
              </w:rPr>
              <w:t>9</w:t>
            </w:r>
          </w:p>
        </w:tc>
        <w:tc>
          <w:tcPr>
            <w:tcW w:type="dxa" w:w="2102"/>
            <w:vAlign w:val="center"/>
          </w:tcPr>
          <w:p>
            <w:pPr>
              <w:spacing w:after="80" w:before="80" w:line="252" w:lineRule="auto"/>
            </w:pPr>
            <w:r>
              <w:rPr>
                <w:rFonts w:ascii="Arial" w:hAnsi="Arial"/>
                <w:sz w:val="19"/>
              </w:rPr>
              <w:t>8</w:t>
            </w:r>
          </w:p>
        </w:tc>
        <w:tc>
          <w:tcPr>
            <w:tcW w:type="dxa" w:w="1426"/>
            <w:vAlign w:val="center"/>
          </w:tcPr>
          <w:p>
            <w:pPr>
              <w:spacing w:after="80" w:before="80" w:line="252" w:lineRule="auto"/>
            </w:pPr>
            <w:r>
              <w:rPr>
                <w:rFonts w:ascii="Arial" w:hAnsi="Arial"/>
                <w:sz w:val="19"/>
              </w:rPr>
              <w:t>9</w:t>
            </w:r>
          </w:p>
        </w:tc>
      </w:tr>
      <w:tr>
        <w:trPr>
          <w:cantSplit/>
        </w:trPr>
        <w:tc>
          <w:tcPr>
            <w:tcW w:type="dxa" w:w="2102"/>
            <w:vAlign w:val="center"/>
          </w:tcPr>
          <w:p>
            <w:pPr>
              <w:spacing w:after="80" w:before="80" w:line="252" w:lineRule="auto"/>
            </w:pPr>
            <w:r>
              <w:rPr>
                <w:rFonts w:ascii="Arial" w:hAnsi="Arial"/>
                <w:sz w:val="19"/>
              </w:rPr>
              <w:t>All 86</w:t>
            </w:r>
          </w:p>
        </w:tc>
        <w:tc>
          <w:tcPr>
            <w:tcW w:type="dxa" w:w="1080"/>
            <w:vAlign w:val="center"/>
          </w:tcPr>
          <w:p>
            <w:pPr>
              <w:spacing w:after="80" w:before="80" w:line="252" w:lineRule="auto"/>
            </w:pPr>
            <w:r>
              <w:rPr>
                <w:rFonts w:ascii="Arial" w:hAnsi="Arial"/>
                <w:sz w:val="19"/>
              </w:rPr>
              <w:t>5</w:t>
            </w:r>
          </w:p>
        </w:tc>
        <w:tc>
          <w:tcPr>
            <w:tcW w:type="dxa" w:w="1253"/>
            <w:vAlign w:val="center"/>
          </w:tcPr>
          <w:p>
            <w:pPr>
              <w:spacing w:after="80" w:before="80" w:line="252" w:lineRule="auto"/>
            </w:pPr>
            <w:r>
              <w:rPr>
                <w:rFonts w:ascii="Arial" w:hAnsi="Arial"/>
                <w:sz w:val="19"/>
              </w:rPr>
              <w:t>17</w:t>
            </w:r>
          </w:p>
        </w:tc>
        <w:tc>
          <w:tcPr>
            <w:tcW w:type="dxa" w:w="1771"/>
            <w:vAlign w:val="center"/>
          </w:tcPr>
          <w:p>
            <w:pPr>
              <w:spacing w:after="80" w:before="80" w:line="252" w:lineRule="auto"/>
            </w:pPr>
            <w:r>
              <w:rPr>
                <w:rFonts w:ascii="Arial" w:hAnsi="Arial"/>
                <w:sz w:val="19"/>
              </w:rPr>
              <w:t>9</w:t>
            </w:r>
          </w:p>
        </w:tc>
        <w:tc>
          <w:tcPr>
            <w:tcW w:type="dxa" w:w="2102"/>
            <w:vAlign w:val="center"/>
          </w:tcPr>
          <w:p>
            <w:pPr>
              <w:spacing w:after="80" w:before="80" w:line="252" w:lineRule="auto"/>
            </w:pPr>
            <w:r>
              <w:rPr>
                <w:rFonts w:ascii="Arial" w:hAnsi="Arial"/>
                <w:sz w:val="19"/>
              </w:rPr>
              <w:t>8</w:t>
            </w:r>
          </w:p>
        </w:tc>
        <w:tc>
          <w:tcPr>
            <w:tcW w:type="dxa" w:w="1426"/>
            <w:vAlign w:val="center"/>
          </w:tcPr>
          <w:p>
            <w:pPr>
              <w:spacing w:after="80" w:before="80" w:line="252" w:lineRule="auto"/>
            </w:pPr>
            <w:r>
              <w:rPr>
                <w:rFonts w:ascii="Arial" w:hAnsi="Arial"/>
                <w:sz w:val="19"/>
              </w:rPr>
              <w:t>11</w:t>
            </w:r>
          </w:p>
        </w:tc>
      </w:tr>
      <w:tr>
        <w:trPr>
          <w:cantSplit/>
        </w:trPr>
        <w:tc>
          <w:tcPr>
            <w:tcW w:type="dxa" w:w="2102"/>
            <w:vAlign w:val="center"/>
          </w:tcPr>
          <w:p>
            <w:pPr>
              <w:spacing w:after="80" w:before="80" w:line="252" w:lineRule="auto"/>
            </w:pPr>
            <w:r>
              <w:rPr>
                <w:rFonts w:ascii="Arial" w:hAnsi="Arial"/>
                <w:sz w:val="19"/>
              </w:rPr>
              <w:t>Primary 73</w:t>
            </w:r>
          </w:p>
        </w:tc>
        <w:tc>
          <w:tcPr>
            <w:tcW w:type="dxa" w:w="1080"/>
            <w:vAlign w:val="center"/>
          </w:tcPr>
          <w:p>
            <w:pPr>
              <w:spacing w:after="80" w:before="80" w:line="252" w:lineRule="auto"/>
            </w:pPr>
            <w:r>
              <w:rPr>
                <w:rFonts w:ascii="Arial" w:hAnsi="Arial"/>
                <w:sz w:val="19"/>
              </w:rPr>
              <w:t>1</w:t>
            </w:r>
          </w:p>
        </w:tc>
        <w:tc>
          <w:tcPr>
            <w:tcW w:type="dxa" w:w="1253"/>
            <w:vAlign w:val="center"/>
          </w:tcPr>
          <w:p>
            <w:pPr>
              <w:spacing w:after="80" w:before="80" w:line="252" w:lineRule="auto"/>
            </w:pPr>
            <w:r>
              <w:rPr>
                <w:rFonts w:ascii="Arial" w:hAnsi="Arial"/>
                <w:sz w:val="19"/>
              </w:rPr>
              <w:t>17</w:t>
            </w:r>
          </w:p>
        </w:tc>
        <w:tc>
          <w:tcPr>
            <w:tcW w:type="dxa" w:w="1771"/>
            <w:vAlign w:val="center"/>
          </w:tcPr>
          <w:p>
            <w:pPr>
              <w:spacing w:after="80" w:before="80" w:line="252" w:lineRule="auto"/>
            </w:pPr>
            <w:r>
              <w:rPr>
                <w:rFonts w:ascii="Arial" w:hAnsi="Arial"/>
                <w:sz w:val="19"/>
              </w:rPr>
              <w:t>10</w:t>
            </w:r>
          </w:p>
        </w:tc>
        <w:tc>
          <w:tcPr>
            <w:tcW w:type="dxa" w:w="2102"/>
            <w:vAlign w:val="center"/>
          </w:tcPr>
          <w:p>
            <w:pPr>
              <w:spacing w:after="80" w:before="80" w:line="252" w:lineRule="auto"/>
            </w:pPr>
            <w:r>
              <w:rPr>
                <w:rFonts w:ascii="Arial" w:hAnsi="Arial"/>
                <w:sz w:val="19"/>
              </w:rPr>
              <w:t>7</w:t>
            </w:r>
          </w:p>
        </w:tc>
        <w:tc>
          <w:tcPr>
            <w:tcW w:type="dxa" w:w="1426"/>
            <w:vAlign w:val="center"/>
          </w:tcPr>
          <w:p>
            <w:pPr>
              <w:spacing w:after="80" w:before="80" w:line="252" w:lineRule="auto"/>
            </w:pPr>
            <w:r>
              <w:rPr>
                <w:rFonts w:ascii="Arial" w:hAnsi="Arial"/>
                <w:sz w:val="19"/>
              </w:rPr>
              <w:t>3</w:t>
            </w:r>
          </w:p>
        </w:tc>
      </w:tr>
      <w:tr>
        <w:trPr>
          <w:cantSplit/>
        </w:trPr>
        <w:tc>
          <w:tcPr>
            <w:tcW w:type="dxa" w:w="2102"/>
            <w:vAlign w:val="center"/>
          </w:tcPr>
          <w:p>
            <w:pPr>
              <w:spacing w:after="80" w:before="80" w:line="252" w:lineRule="auto"/>
            </w:pPr>
            <w:r>
              <w:rPr>
                <w:rFonts w:ascii="Arial" w:hAnsi="Arial"/>
                <w:sz w:val="19"/>
              </w:rPr>
              <w:t>Primary 73</w:t>
            </w:r>
          </w:p>
        </w:tc>
        <w:tc>
          <w:tcPr>
            <w:tcW w:type="dxa" w:w="1080"/>
            <w:vAlign w:val="center"/>
          </w:tcPr>
          <w:p>
            <w:pPr>
              <w:spacing w:after="80" w:before="80" w:line="252" w:lineRule="auto"/>
            </w:pPr>
            <w:r>
              <w:rPr>
                <w:rFonts w:ascii="Arial" w:hAnsi="Arial"/>
                <w:sz w:val="19"/>
              </w:rPr>
              <w:t>2</w:t>
            </w:r>
          </w:p>
        </w:tc>
        <w:tc>
          <w:tcPr>
            <w:tcW w:type="dxa" w:w="1253"/>
            <w:vAlign w:val="center"/>
          </w:tcPr>
          <w:p>
            <w:pPr>
              <w:spacing w:after="80" w:before="80" w:line="252" w:lineRule="auto"/>
            </w:pPr>
            <w:r>
              <w:rPr>
                <w:rFonts w:ascii="Arial" w:hAnsi="Arial"/>
                <w:sz w:val="19"/>
              </w:rPr>
              <w:t>14</w:t>
            </w:r>
          </w:p>
        </w:tc>
        <w:tc>
          <w:tcPr>
            <w:tcW w:type="dxa" w:w="1771"/>
            <w:vAlign w:val="center"/>
          </w:tcPr>
          <w:p>
            <w:pPr>
              <w:spacing w:after="80" w:before="80" w:line="252" w:lineRule="auto"/>
            </w:pPr>
            <w:r>
              <w:rPr>
                <w:rFonts w:ascii="Arial" w:hAnsi="Arial"/>
                <w:sz w:val="19"/>
              </w:rPr>
              <w:t>10</w:t>
            </w:r>
          </w:p>
        </w:tc>
        <w:tc>
          <w:tcPr>
            <w:tcW w:type="dxa" w:w="2102"/>
            <w:vAlign w:val="center"/>
          </w:tcPr>
          <w:p>
            <w:pPr>
              <w:spacing w:after="80" w:before="80" w:line="252" w:lineRule="auto"/>
            </w:pPr>
            <w:r>
              <w:rPr>
                <w:rFonts w:ascii="Arial" w:hAnsi="Arial"/>
                <w:sz w:val="19"/>
              </w:rPr>
              <w:t>4</w:t>
            </w:r>
          </w:p>
        </w:tc>
        <w:tc>
          <w:tcPr>
            <w:tcW w:type="dxa" w:w="1426"/>
            <w:vAlign w:val="center"/>
          </w:tcPr>
          <w:p>
            <w:pPr>
              <w:spacing w:after="80" w:before="80" w:line="252" w:lineRule="auto"/>
            </w:pPr>
            <w:r>
              <w:rPr>
                <w:rFonts w:ascii="Arial" w:hAnsi="Arial"/>
                <w:sz w:val="19"/>
              </w:rPr>
              <w:t>10</w:t>
            </w:r>
          </w:p>
        </w:tc>
      </w:tr>
      <w:tr>
        <w:trPr>
          <w:cantSplit/>
        </w:trPr>
        <w:tc>
          <w:tcPr>
            <w:tcW w:type="dxa" w:w="2102"/>
            <w:vAlign w:val="center"/>
          </w:tcPr>
          <w:p>
            <w:pPr>
              <w:spacing w:after="80" w:before="80" w:line="252" w:lineRule="auto"/>
            </w:pPr>
            <w:r>
              <w:rPr>
                <w:rFonts w:ascii="Arial" w:hAnsi="Arial"/>
                <w:sz w:val="19"/>
              </w:rPr>
              <w:t>Primary 73</w:t>
            </w:r>
          </w:p>
        </w:tc>
        <w:tc>
          <w:tcPr>
            <w:tcW w:type="dxa" w:w="1080"/>
            <w:vAlign w:val="center"/>
          </w:tcPr>
          <w:p>
            <w:pPr>
              <w:spacing w:after="80" w:before="80" w:line="252" w:lineRule="auto"/>
            </w:pPr>
            <w:r>
              <w:rPr>
                <w:rFonts w:ascii="Arial" w:hAnsi="Arial"/>
                <w:sz w:val="19"/>
              </w:rPr>
              <w:t>3</w:t>
            </w:r>
          </w:p>
        </w:tc>
        <w:tc>
          <w:tcPr>
            <w:tcW w:type="dxa" w:w="1253"/>
            <w:vAlign w:val="center"/>
          </w:tcPr>
          <w:p>
            <w:pPr>
              <w:spacing w:after="80" w:before="80" w:line="252" w:lineRule="auto"/>
            </w:pPr>
            <w:r>
              <w:rPr>
                <w:rFonts w:ascii="Arial" w:hAnsi="Arial"/>
                <w:sz w:val="19"/>
              </w:rPr>
              <w:t>11</w:t>
            </w:r>
          </w:p>
        </w:tc>
        <w:tc>
          <w:tcPr>
            <w:tcW w:type="dxa" w:w="1771"/>
            <w:vAlign w:val="center"/>
          </w:tcPr>
          <w:p>
            <w:pPr>
              <w:spacing w:after="80" w:before="80" w:line="252" w:lineRule="auto"/>
            </w:pPr>
            <w:r>
              <w:rPr>
                <w:rFonts w:ascii="Arial" w:hAnsi="Arial"/>
                <w:sz w:val="19"/>
              </w:rPr>
              <w:t>9</w:t>
            </w:r>
          </w:p>
        </w:tc>
        <w:tc>
          <w:tcPr>
            <w:tcW w:type="dxa" w:w="2102"/>
            <w:vAlign w:val="center"/>
          </w:tcPr>
          <w:p>
            <w:pPr>
              <w:spacing w:after="80" w:before="80" w:line="252" w:lineRule="auto"/>
            </w:pPr>
            <w:r>
              <w:rPr>
                <w:rFonts w:ascii="Arial" w:hAnsi="Arial"/>
                <w:sz w:val="19"/>
              </w:rPr>
              <w:t>2</w:t>
            </w:r>
          </w:p>
        </w:tc>
        <w:tc>
          <w:tcPr>
            <w:tcW w:type="dxa" w:w="1426"/>
            <w:vAlign w:val="center"/>
          </w:tcPr>
          <w:p>
            <w:pPr>
              <w:spacing w:after="80" w:before="80" w:line="252" w:lineRule="auto"/>
            </w:pPr>
            <w:r>
              <w:rPr>
                <w:rFonts w:ascii="Arial" w:hAnsi="Arial"/>
                <w:sz w:val="19"/>
              </w:rPr>
              <w:t>8</w:t>
            </w:r>
          </w:p>
        </w:tc>
      </w:tr>
      <w:tr>
        <w:trPr>
          <w:cantSplit/>
        </w:trPr>
        <w:tc>
          <w:tcPr>
            <w:tcW w:type="dxa" w:w="2102"/>
            <w:vAlign w:val="center"/>
          </w:tcPr>
          <w:p>
            <w:pPr>
              <w:spacing w:after="80" w:before="80" w:line="252" w:lineRule="auto"/>
            </w:pPr>
            <w:r>
              <w:rPr>
                <w:rFonts w:ascii="Arial" w:hAnsi="Arial"/>
                <w:sz w:val="19"/>
              </w:rPr>
              <w:t>Primary 73</w:t>
            </w:r>
          </w:p>
        </w:tc>
        <w:tc>
          <w:tcPr>
            <w:tcW w:type="dxa" w:w="1080"/>
            <w:vAlign w:val="center"/>
          </w:tcPr>
          <w:p>
            <w:pPr>
              <w:spacing w:after="80" w:before="80" w:line="252" w:lineRule="auto"/>
            </w:pPr>
            <w:r>
              <w:rPr>
                <w:rFonts w:ascii="Arial" w:hAnsi="Arial"/>
                <w:sz w:val="19"/>
              </w:rPr>
              <w:t>4</w:t>
            </w:r>
          </w:p>
        </w:tc>
        <w:tc>
          <w:tcPr>
            <w:tcW w:type="dxa" w:w="1253"/>
            <w:vAlign w:val="center"/>
          </w:tcPr>
          <w:p>
            <w:pPr>
              <w:spacing w:after="80" w:before="80" w:line="252" w:lineRule="auto"/>
            </w:pPr>
            <w:r>
              <w:rPr>
                <w:rFonts w:ascii="Arial" w:hAnsi="Arial"/>
                <w:sz w:val="19"/>
              </w:rPr>
              <w:t>16</w:t>
            </w:r>
          </w:p>
        </w:tc>
        <w:tc>
          <w:tcPr>
            <w:tcW w:type="dxa" w:w="1771"/>
            <w:vAlign w:val="center"/>
          </w:tcPr>
          <w:p>
            <w:pPr>
              <w:spacing w:after="80" w:before="80" w:line="252" w:lineRule="auto"/>
            </w:pPr>
            <w:r>
              <w:rPr>
                <w:rFonts w:ascii="Arial" w:hAnsi="Arial"/>
                <w:sz w:val="19"/>
              </w:rPr>
              <w:t>9</w:t>
            </w:r>
          </w:p>
        </w:tc>
        <w:tc>
          <w:tcPr>
            <w:tcW w:type="dxa" w:w="2102"/>
            <w:vAlign w:val="center"/>
          </w:tcPr>
          <w:p>
            <w:pPr>
              <w:spacing w:after="80" w:before="80" w:line="252" w:lineRule="auto"/>
            </w:pPr>
            <w:r>
              <w:rPr>
                <w:rFonts w:ascii="Arial" w:hAnsi="Arial"/>
                <w:sz w:val="19"/>
              </w:rPr>
              <w:t>7</w:t>
            </w:r>
          </w:p>
        </w:tc>
        <w:tc>
          <w:tcPr>
            <w:tcW w:type="dxa" w:w="1426"/>
            <w:vAlign w:val="center"/>
          </w:tcPr>
          <w:p>
            <w:pPr>
              <w:spacing w:after="80" w:before="80" w:line="252" w:lineRule="auto"/>
            </w:pPr>
            <w:r>
              <w:rPr>
                <w:rFonts w:ascii="Arial" w:hAnsi="Arial"/>
                <w:sz w:val="19"/>
              </w:rPr>
              <w:t>9</w:t>
            </w:r>
          </w:p>
        </w:tc>
      </w:tr>
      <w:tr>
        <w:trPr>
          <w:cantSplit/>
        </w:trPr>
        <w:tc>
          <w:tcPr>
            <w:tcW w:type="dxa" w:w="2102"/>
            <w:vAlign w:val="center"/>
          </w:tcPr>
          <w:p>
            <w:pPr>
              <w:spacing w:after="80" w:before="80" w:line="252" w:lineRule="auto"/>
            </w:pPr>
            <w:r>
              <w:rPr>
                <w:rFonts w:ascii="Arial" w:hAnsi="Arial"/>
                <w:sz w:val="19"/>
              </w:rPr>
              <w:t>Primary 73</w:t>
            </w:r>
          </w:p>
        </w:tc>
        <w:tc>
          <w:tcPr>
            <w:tcW w:type="dxa" w:w="1080"/>
            <w:vAlign w:val="center"/>
          </w:tcPr>
          <w:p>
            <w:pPr>
              <w:spacing w:after="80" w:before="80" w:line="252" w:lineRule="auto"/>
            </w:pPr>
            <w:r>
              <w:rPr>
                <w:rFonts w:ascii="Arial" w:hAnsi="Arial"/>
                <w:sz w:val="19"/>
              </w:rPr>
              <w:t>5</w:t>
            </w:r>
          </w:p>
        </w:tc>
        <w:tc>
          <w:tcPr>
            <w:tcW w:type="dxa" w:w="1253"/>
            <w:vAlign w:val="center"/>
          </w:tcPr>
          <w:p>
            <w:pPr>
              <w:spacing w:after="80" w:before="80" w:line="252" w:lineRule="auto"/>
            </w:pPr>
            <w:r>
              <w:rPr>
                <w:rFonts w:ascii="Arial" w:hAnsi="Arial"/>
                <w:sz w:val="19"/>
              </w:rPr>
              <w:t>15</w:t>
            </w:r>
          </w:p>
        </w:tc>
        <w:tc>
          <w:tcPr>
            <w:tcW w:type="dxa" w:w="1771"/>
            <w:vAlign w:val="center"/>
          </w:tcPr>
          <w:p>
            <w:pPr>
              <w:spacing w:after="80" w:before="80" w:line="252" w:lineRule="auto"/>
            </w:pPr>
            <w:r>
              <w:rPr>
                <w:rFonts w:ascii="Arial" w:hAnsi="Arial"/>
                <w:sz w:val="19"/>
              </w:rPr>
              <w:t>9</w:t>
            </w:r>
          </w:p>
        </w:tc>
        <w:tc>
          <w:tcPr>
            <w:tcW w:type="dxa" w:w="2102"/>
            <w:vAlign w:val="center"/>
          </w:tcPr>
          <w:p>
            <w:pPr>
              <w:spacing w:after="80" w:before="80" w:line="252" w:lineRule="auto"/>
            </w:pPr>
            <w:r>
              <w:rPr>
                <w:rFonts w:ascii="Arial" w:hAnsi="Arial"/>
                <w:sz w:val="19"/>
              </w:rPr>
              <w:t>6</w:t>
            </w:r>
          </w:p>
        </w:tc>
        <w:tc>
          <w:tcPr>
            <w:tcW w:type="dxa" w:w="1426"/>
            <w:vAlign w:val="center"/>
          </w:tcPr>
          <w:p>
            <w:pPr>
              <w:spacing w:after="80" w:before="80" w:line="252" w:lineRule="auto"/>
            </w:pPr>
            <w:r>
              <w:rPr>
                <w:rFonts w:ascii="Arial" w:hAnsi="Arial"/>
                <w:sz w:val="19"/>
              </w:rPr>
              <w:t>11</w:t>
            </w:r>
          </w:p>
        </w:tc>
      </w:tr>
      <w:tr>
        <w:trPr>
          <w:cantSplit/>
        </w:trPr>
        <w:tc>
          <w:tcPr>
            <w:tcW w:type="dxa" w:w="2102"/>
            <w:vAlign w:val="center"/>
          </w:tcPr>
          <w:p>
            <w:pPr>
              <w:spacing w:after="80" w:before="80" w:line="252" w:lineRule="auto"/>
            </w:pPr>
            <w:r>
              <w:rPr>
                <w:rFonts w:ascii="Arial" w:hAnsi="Arial"/>
                <w:sz w:val="19"/>
              </w:rPr>
              <w:t>Exact 60</w:t>
            </w:r>
          </w:p>
        </w:tc>
        <w:tc>
          <w:tcPr>
            <w:tcW w:type="dxa" w:w="1080"/>
            <w:vAlign w:val="center"/>
          </w:tcPr>
          <w:p>
            <w:pPr>
              <w:spacing w:after="80" w:before="80" w:line="252" w:lineRule="auto"/>
            </w:pPr>
            <w:r>
              <w:rPr>
                <w:rFonts w:ascii="Arial" w:hAnsi="Arial"/>
                <w:sz w:val="19"/>
              </w:rPr>
              <w:t>1</w:t>
            </w:r>
          </w:p>
        </w:tc>
        <w:tc>
          <w:tcPr>
            <w:tcW w:type="dxa" w:w="1253"/>
            <w:vAlign w:val="center"/>
          </w:tcPr>
          <w:p>
            <w:pPr>
              <w:spacing w:after="80" w:before="80" w:line="252" w:lineRule="auto"/>
            </w:pPr>
            <w:r>
              <w:rPr>
                <w:rFonts w:ascii="Arial" w:hAnsi="Arial"/>
                <w:sz w:val="19"/>
              </w:rPr>
              <w:t>16</w:t>
            </w:r>
          </w:p>
        </w:tc>
        <w:tc>
          <w:tcPr>
            <w:tcW w:type="dxa" w:w="1771"/>
            <w:vAlign w:val="center"/>
          </w:tcPr>
          <w:p>
            <w:pPr>
              <w:spacing w:after="80" w:before="80" w:line="252" w:lineRule="auto"/>
            </w:pPr>
            <w:r>
              <w:rPr>
                <w:rFonts w:ascii="Arial" w:hAnsi="Arial"/>
                <w:sz w:val="19"/>
              </w:rPr>
              <w:t>10</w:t>
            </w:r>
          </w:p>
        </w:tc>
        <w:tc>
          <w:tcPr>
            <w:tcW w:type="dxa" w:w="2102"/>
            <w:vAlign w:val="center"/>
          </w:tcPr>
          <w:p>
            <w:pPr>
              <w:spacing w:after="80" w:before="80" w:line="252" w:lineRule="auto"/>
            </w:pPr>
            <w:r>
              <w:rPr>
                <w:rFonts w:ascii="Arial" w:hAnsi="Arial"/>
                <w:sz w:val="19"/>
              </w:rPr>
              <w:t>6</w:t>
            </w:r>
          </w:p>
        </w:tc>
        <w:tc>
          <w:tcPr>
            <w:tcW w:type="dxa" w:w="1426"/>
            <w:vAlign w:val="center"/>
          </w:tcPr>
          <w:p>
            <w:pPr>
              <w:spacing w:after="80" w:before="80" w:line="252" w:lineRule="auto"/>
            </w:pPr>
            <w:r>
              <w:rPr>
                <w:rFonts w:ascii="Arial" w:hAnsi="Arial"/>
                <w:sz w:val="19"/>
              </w:rPr>
              <w:t>2</w:t>
            </w:r>
          </w:p>
        </w:tc>
      </w:tr>
      <w:tr>
        <w:trPr>
          <w:cantSplit/>
        </w:trPr>
        <w:tc>
          <w:tcPr>
            <w:tcW w:type="dxa" w:w="2102"/>
            <w:vAlign w:val="center"/>
          </w:tcPr>
          <w:p>
            <w:pPr>
              <w:spacing w:after="80" w:before="80" w:line="252" w:lineRule="auto"/>
            </w:pPr>
            <w:r>
              <w:rPr>
                <w:rFonts w:ascii="Arial" w:hAnsi="Arial"/>
                <w:sz w:val="19"/>
              </w:rPr>
              <w:t>Exact 60</w:t>
            </w:r>
          </w:p>
        </w:tc>
        <w:tc>
          <w:tcPr>
            <w:tcW w:type="dxa" w:w="1080"/>
            <w:vAlign w:val="center"/>
          </w:tcPr>
          <w:p>
            <w:pPr>
              <w:spacing w:after="80" w:before="80" w:line="252" w:lineRule="auto"/>
            </w:pPr>
            <w:r>
              <w:rPr>
                <w:rFonts w:ascii="Arial" w:hAnsi="Arial"/>
                <w:sz w:val="19"/>
              </w:rPr>
              <w:t>2</w:t>
            </w:r>
          </w:p>
        </w:tc>
        <w:tc>
          <w:tcPr>
            <w:tcW w:type="dxa" w:w="1253"/>
            <w:vAlign w:val="center"/>
          </w:tcPr>
          <w:p>
            <w:pPr>
              <w:spacing w:after="80" w:before="80" w:line="252" w:lineRule="auto"/>
            </w:pPr>
            <w:r>
              <w:rPr>
                <w:rFonts w:ascii="Arial" w:hAnsi="Arial"/>
                <w:sz w:val="19"/>
              </w:rPr>
              <w:t>12</w:t>
            </w:r>
          </w:p>
        </w:tc>
        <w:tc>
          <w:tcPr>
            <w:tcW w:type="dxa" w:w="1771"/>
            <w:vAlign w:val="center"/>
          </w:tcPr>
          <w:p>
            <w:pPr>
              <w:spacing w:after="80" w:before="80" w:line="252" w:lineRule="auto"/>
            </w:pPr>
            <w:r>
              <w:rPr>
                <w:rFonts w:ascii="Arial" w:hAnsi="Arial"/>
                <w:sz w:val="19"/>
              </w:rPr>
              <w:t>9</w:t>
            </w:r>
          </w:p>
        </w:tc>
        <w:tc>
          <w:tcPr>
            <w:tcW w:type="dxa" w:w="2102"/>
            <w:vAlign w:val="center"/>
          </w:tcPr>
          <w:p>
            <w:pPr>
              <w:spacing w:after="80" w:before="80" w:line="252" w:lineRule="auto"/>
            </w:pPr>
            <w:r>
              <w:rPr>
                <w:rFonts w:ascii="Arial" w:hAnsi="Arial"/>
                <w:sz w:val="19"/>
              </w:rPr>
              <w:t>3</w:t>
            </w:r>
          </w:p>
        </w:tc>
        <w:tc>
          <w:tcPr>
            <w:tcW w:type="dxa" w:w="1426"/>
            <w:vAlign w:val="center"/>
          </w:tcPr>
          <w:p>
            <w:pPr>
              <w:spacing w:after="80" w:before="80" w:line="252" w:lineRule="auto"/>
            </w:pPr>
            <w:r>
              <w:rPr>
                <w:rFonts w:ascii="Arial" w:hAnsi="Arial"/>
                <w:sz w:val="19"/>
              </w:rPr>
              <w:t>9</w:t>
            </w:r>
          </w:p>
        </w:tc>
      </w:tr>
      <w:tr>
        <w:trPr>
          <w:cantSplit/>
        </w:trPr>
        <w:tc>
          <w:tcPr>
            <w:tcW w:type="dxa" w:w="2102"/>
            <w:vAlign w:val="center"/>
          </w:tcPr>
          <w:p>
            <w:pPr>
              <w:spacing w:after="80" w:before="80" w:line="252" w:lineRule="auto"/>
            </w:pPr>
            <w:r>
              <w:rPr>
                <w:rFonts w:ascii="Arial" w:hAnsi="Arial"/>
                <w:sz w:val="19"/>
              </w:rPr>
              <w:t>Exact 60</w:t>
            </w:r>
          </w:p>
        </w:tc>
        <w:tc>
          <w:tcPr>
            <w:tcW w:type="dxa" w:w="1080"/>
            <w:vAlign w:val="center"/>
          </w:tcPr>
          <w:p>
            <w:pPr>
              <w:spacing w:after="80" w:before="80" w:line="252" w:lineRule="auto"/>
            </w:pPr>
            <w:r>
              <w:rPr>
                <w:rFonts w:ascii="Arial" w:hAnsi="Arial"/>
                <w:sz w:val="19"/>
              </w:rPr>
              <w:t>3</w:t>
            </w:r>
          </w:p>
        </w:tc>
        <w:tc>
          <w:tcPr>
            <w:tcW w:type="dxa" w:w="1253"/>
            <w:vAlign w:val="center"/>
          </w:tcPr>
          <w:p>
            <w:pPr>
              <w:spacing w:after="80" w:before="80" w:line="252" w:lineRule="auto"/>
            </w:pPr>
            <w:r>
              <w:rPr>
                <w:rFonts w:ascii="Arial" w:hAnsi="Arial"/>
                <w:sz w:val="19"/>
              </w:rPr>
              <w:t>9</w:t>
            </w:r>
          </w:p>
        </w:tc>
        <w:tc>
          <w:tcPr>
            <w:tcW w:type="dxa" w:w="1771"/>
            <w:vAlign w:val="center"/>
          </w:tcPr>
          <w:p>
            <w:pPr>
              <w:spacing w:after="80" w:before="80" w:line="252" w:lineRule="auto"/>
            </w:pPr>
            <w:r>
              <w:rPr>
                <w:rFonts w:ascii="Arial" w:hAnsi="Arial"/>
                <w:sz w:val="19"/>
              </w:rPr>
              <w:t>9</w:t>
            </w:r>
          </w:p>
        </w:tc>
        <w:tc>
          <w:tcPr>
            <w:tcW w:type="dxa" w:w="2102"/>
            <w:vAlign w:val="center"/>
          </w:tcPr>
          <w:p>
            <w:pPr>
              <w:spacing w:after="80" w:before="80" w:line="252" w:lineRule="auto"/>
            </w:pPr>
            <w:r>
              <w:rPr>
                <w:rFonts w:ascii="Arial" w:hAnsi="Arial"/>
                <w:sz w:val="19"/>
              </w:rPr>
              <w:t>0</w:t>
            </w:r>
          </w:p>
        </w:tc>
        <w:tc>
          <w:tcPr>
            <w:tcW w:type="dxa" w:w="1426"/>
            <w:vAlign w:val="center"/>
          </w:tcPr>
          <w:p>
            <w:pPr>
              <w:spacing w:after="80" w:before="80" w:line="252" w:lineRule="auto"/>
            </w:pPr>
            <w:r>
              <w:rPr>
                <w:rFonts w:ascii="Arial" w:hAnsi="Arial"/>
                <w:sz w:val="19"/>
              </w:rPr>
              <w:t>6</w:t>
            </w:r>
          </w:p>
        </w:tc>
      </w:tr>
      <w:tr>
        <w:trPr>
          <w:cantSplit/>
        </w:trPr>
        <w:tc>
          <w:tcPr>
            <w:tcW w:type="dxa" w:w="2102"/>
            <w:vAlign w:val="center"/>
          </w:tcPr>
          <w:p>
            <w:pPr>
              <w:spacing w:after="80" w:before="80" w:line="252" w:lineRule="auto"/>
            </w:pPr>
            <w:r>
              <w:rPr>
                <w:rFonts w:ascii="Arial" w:hAnsi="Arial"/>
                <w:sz w:val="19"/>
              </w:rPr>
              <w:t>Exact 60</w:t>
            </w:r>
          </w:p>
        </w:tc>
        <w:tc>
          <w:tcPr>
            <w:tcW w:type="dxa" w:w="1080"/>
            <w:vAlign w:val="center"/>
          </w:tcPr>
          <w:p>
            <w:pPr>
              <w:spacing w:after="80" w:before="80" w:line="252" w:lineRule="auto"/>
            </w:pPr>
            <w:r>
              <w:rPr>
                <w:rFonts w:ascii="Arial" w:hAnsi="Arial"/>
                <w:sz w:val="19"/>
              </w:rPr>
              <w:t>4</w:t>
            </w:r>
          </w:p>
        </w:tc>
        <w:tc>
          <w:tcPr>
            <w:tcW w:type="dxa" w:w="1253"/>
            <w:vAlign w:val="center"/>
          </w:tcPr>
          <w:p>
            <w:pPr>
              <w:spacing w:after="80" w:before="80" w:line="252" w:lineRule="auto"/>
            </w:pPr>
            <w:r>
              <w:rPr>
                <w:rFonts w:ascii="Arial" w:hAnsi="Arial"/>
                <w:sz w:val="19"/>
              </w:rPr>
              <w:t>12</w:t>
            </w:r>
          </w:p>
        </w:tc>
        <w:tc>
          <w:tcPr>
            <w:tcW w:type="dxa" w:w="1771"/>
            <w:vAlign w:val="center"/>
          </w:tcPr>
          <w:p>
            <w:pPr>
              <w:spacing w:after="80" w:before="80" w:line="252" w:lineRule="auto"/>
            </w:pPr>
            <w:r>
              <w:rPr>
                <w:rFonts w:ascii="Arial" w:hAnsi="Arial"/>
                <w:sz w:val="19"/>
              </w:rPr>
              <w:t>8</w:t>
            </w:r>
          </w:p>
        </w:tc>
        <w:tc>
          <w:tcPr>
            <w:tcW w:type="dxa" w:w="2102"/>
            <w:vAlign w:val="center"/>
          </w:tcPr>
          <w:p>
            <w:pPr>
              <w:spacing w:after="80" w:before="80" w:line="252" w:lineRule="auto"/>
            </w:pPr>
            <w:r>
              <w:rPr>
                <w:rFonts w:ascii="Arial" w:hAnsi="Arial"/>
                <w:sz w:val="19"/>
              </w:rPr>
              <w:t>4</w:t>
            </w:r>
          </w:p>
        </w:tc>
        <w:tc>
          <w:tcPr>
            <w:tcW w:type="dxa" w:w="1426"/>
            <w:vAlign w:val="center"/>
          </w:tcPr>
          <w:p>
            <w:pPr>
              <w:spacing w:after="80" w:before="80" w:line="252" w:lineRule="auto"/>
            </w:pPr>
            <w:r>
              <w:rPr>
                <w:rFonts w:ascii="Arial" w:hAnsi="Arial"/>
                <w:sz w:val="19"/>
              </w:rPr>
              <w:t>6</w:t>
            </w:r>
          </w:p>
        </w:tc>
      </w:tr>
      <w:tr>
        <w:trPr>
          <w:cantSplit/>
        </w:trPr>
        <w:tc>
          <w:tcPr>
            <w:tcW w:type="dxa" w:w="2102"/>
            <w:vAlign w:val="center"/>
          </w:tcPr>
          <w:p>
            <w:pPr>
              <w:spacing w:after="80" w:before="80" w:line="252" w:lineRule="auto"/>
            </w:pPr>
            <w:r>
              <w:rPr>
                <w:rFonts w:ascii="Arial" w:hAnsi="Arial"/>
                <w:sz w:val="19"/>
              </w:rPr>
              <w:t>Exact 60</w:t>
            </w:r>
          </w:p>
        </w:tc>
        <w:tc>
          <w:tcPr>
            <w:tcW w:type="dxa" w:w="1080"/>
            <w:vAlign w:val="center"/>
          </w:tcPr>
          <w:p>
            <w:pPr>
              <w:spacing w:after="80" w:before="80" w:line="252" w:lineRule="auto"/>
            </w:pPr>
            <w:r>
              <w:rPr>
                <w:rFonts w:ascii="Arial" w:hAnsi="Arial"/>
                <w:sz w:val="19"/>
              </w:rPr>
              <w:t>5</w:t>
            </w:r>
          </w:p>
        </w:tc>
        <w:tc>
          <w:tcPr>
            <w:tcW w:type="dxa" w:w="1253"/>
            <w:vAlign w:val="center"/>
          </w:tcPr>
          <w:p>
            <w:pPr>
              <w:spacing w:after="80" w:before="80" w:line="252" w:lineRule="auto"/>
            </w:pPr>
            <w:r>
              <w:rPr>
                <w:rFonts w:ascii="Arial" w:hAnsi="Arial"/>
                <w:sz w:val="19"/>
              </w:rPr>
              <w:t>11</w:t>
            </w:r>
          </w:p>
        </w:tc>
        <w:tc>
          <w:tcPr>
            <w:tcW w:type="dxa" w:w="1771"/>
            <w:vAlign w:val="center"/>
          </w:tcPr>
          <w:p>
            <w:pPr>
              <w:spacing w:after="80" w:before="80" w:line="252" w:lineRule="auto"/>
            </w:pPr>
            <w:r>
              <w:rPr>
                <w:rFonts w:ascii="Arial" w:hAnsi="Arial"/>
                <w:sz w:val="19"/>
              </w:rPr>
              <w:t>9</w:t>
            </w:r>
          </w:p>
        </w:tc>
        <w:tc>
          <w:tcPr>
            <w:tcW w:type="dxa" w:w="2102"/>
            <w:vAlign w:val="center"/>
          </w:tcPr>
          <w:p>
            <w:pPr>
              <w:spacing w:after="80" w:before="80" w:line="252" w:lineRule="auto"/>
            </w:pPr>
            <w:r>
              <w:rPr>
                <w:rFonts w:ascii="Arial" w:hAnsi="Arial"/>
                <w:sz w:val="19"/>
              </w:rPr>
              <w:t>2</w:t>
            </w:r>
          </w:p>
        </w:tc>
        <w:tc>
          <w:tcPr>
            <w:tcW w:type="dxa" w:w="1426"/>
            <w:vAlign w:val="center"/>
          </w:tcPr>
          <w:p>
            <w:pPr>
              <w:spacing w:after="80" w:before="80" w:line="252" w:lineRule="auto"/>
            </w:pPr>
            <w:r>
              <w:rPr>
                <w:rFonts w:ascii="Arial" w:hAnsi="Arial"/>
                <w:sz w:val="19"/>
              </w:rPr>
              <w:t>8</w:t>
            </w:r>
          </w:p>
        </w:tc>
      </w:tr>
    </w:tbl>
    <w:p>
      <w:pPr>
        <w:spacing w:after="20"/>
      </w:pPr>
    </w:p>
    <w:p>
      <w:r>
        <w:t>The outer training memberships are the complementary full-corpus records, even when reported metrics restrict a test fold to a code-controlled subset. No linked group crosses an outer train/test boundary. The largest group contains fifteen NY pairs, ten eligible and five ineligible. It occupies the first fold. Pooled held-out balanced accuracy remains defined for the exact-code subset although its third test fold has no ineligible pair. The additional seeds are 20261008, 20261009 and 20261010; all outputs are retained.</w:t>
      </w:r>
    </w:p>
    <w:p>
      <w:pPr>
        <w:keepNext/>
      </w:pPr>
      <w:r>
        <w:rPr>
          <w:b/>
        </w:rPr>
        <w:t>Table S5.3 Numerical test units</w:t>
      </w:r>
    </w:p>
    <w:tbl>
      <w:tblPr>
        <w:tblW w:type="auto" w:w="0"/>
        <w:jc w:val="center"/>
        <w:tblLayout w:type="fixed"/>
        <w:tblLook w:firstColumn="1" w:firstRow="1" w:lastColumn="0" w:lastRow="0" w:noHBand="0" w:noVBand="1" w:val="04A0"/>
        <w:tblBorders>
          <w:top w:val="single" w:sz="7" w:color="404040"/>
          <w:bottom w:val="single" w:sz="7" w:color="404040"/>
          <w:left w:val="nil" w:sz="0" w:color="404040"/>
          <w:right w:val="nil" w:sz="0" w:color="404040"/>
          <w:insideH w:val="nil" w:sz="0" w:color="404040"/>
          <w:insideV w:val="nil" w:sz="0" w:color="404040"/>
        </w:tblBorders>
        <w:tblLayout w:type="fixed"/>
      </w:tblPr>
      <w:tblGrid>
        <w:gridCol w:w="3658"/>
        <w:gridCol w:w="1051"/>
        <w:gridCol w:w="4997"/>
      </w:tblGrid>
      <w:tr>
        <w:trPr>
          <w:cantSplit/>
          <w:tblHeader/>
        </w:trPr>
        <w:tc>
          <w:tcPr>
            <w:tcW w:type="dxa" w:w="3658"/>
            <w:vAlign w:val="center"/>
            <w:tcBorders>
              <w:bottom w:val="single" w:sz="5" w:color="404040"/>
            </w:tcBorders>
          </w:tcPr>
          <w:p>
            <w:pPr>
              <w:keepNext/>
              <w:spacing w:after="80" w:before="80" w:line="252" w:lineRule="auto"/>
            </w:pPr>
            <w:r>
              <w:rPr>
                <w:rFonts w:ascii="Arial" w:hAnsi="Arial"/>
                <w:b/>
                <w:sz w:val="19"/>
              </w:rPr>
              <w:t>Test unit</w:t>
            </w:r>
          </w:p>
        </w:tc>
        <w:tc>
          <w:tcPr>
            <w:tcW w:type="dxa" w:w="1051"/>
            <w:vAlign w:val="center"/>
            <w:tcBorders>
              <w:bottom w:val="single" w:sz="5" w:color="404040"/>
            </w:tcBorders>
          </w:tcPr>
          <w:p>
            <w:pPr>
              <w:keepNext/>
              <w:spacing w:after="80" w:before="80" w:line="252" w:lineRule="auto"/>
            </w:pPr>
            <w:r>
              <w:rPr>
                <w:rFonts w:ascii="Arial" w:hAnsi="Arial"/>
                <w:b/>
                <w:sz w:val="19"/>
              </w:rPr>
              <w:t>Count</w:t>
            </w:r>
          </w:p>
        </w:tc>
        <w:tc>
          <w:tcPr>
            <w:tcW w:type="dxa" w:w="4997"/>
            <w:vAlign w:val="center"/>
            <w:tcBorders>
              <w:bottom w:val="single" w:sz="5" w:color="404040"/>
            </w:tcBorders>
          </w:tcPr>
          <w:p>
            <w:pPr>
              <w:keepNext/>
              <w:spacing w:after="80" w:before="80" w:line="252" w:lineRule="auto"/>
            </w:pPr>
            <w:r>
              <w:rPr>
                <w:rFonts w:ascii="Arial" w:hAnsi="Arial"/>
                <w:b/>
                <w:sz w:val="19"/>
              </w:rPr>
              <w:t>Interpretation</w:t>
            </w:r>
          </w:p>
        </w:tc>
      </w:tr>
      <w:tr>
        <w:trPr>
          <w:cantSplit/>
        </w:trPr>
        <w:tc>
          <w:tcPr>
            <w:tcW w:type="dxa" w:w="3658"/>
            <w:vAlign w:val="center"/>
          </w:tcPr>
          <w:p>
            <w:pPr>
              <w:spacing w:after="80" w:before="80" w:line="252" w:lineRule="auto"/>
            </w:pPr>
            <w:r>
              <w:rPr>
                <w:rFonts w:ascii="Arial" w:hAnsi="Arial"/>
                <w:sz w:val="19"/>
              </w:rPr>
              <w:t>Original scenario slots</w:t>
            </w:r>
          </w:p>
        </w:tc>
        <w:tc>
          <w:tcPr>
            <w:tcW w:type="dxa" w:w="1051"/>
            <w:vAlign w:val="center"/>
          </w:tcPr>
          <w:p>
            <w:pPr>
              <w:spacing w:after="80" w:before="80" w:line="252" w:lineRule="auto"/>
            </w:pPr>
            <w:r>
              <w:rPr>
                <w:rFonts w:ascii="Arial" w:hAnsi="Arial"/>
                <w:sz w:val="19"/>
              </w:rPr>
              <w:t>480</w:t>
            </w:r>
          </w:p>
        </w:tc>
        <w:tc>
          <w:tcPr>
            <w:tcW w:type="dxa" w:w="4997"/>
            <w:vAlign w:val="center"/>
          </w:tcPr>
          <w:p>
            <w:pPr>
              <w:spacing w:after="80" w:before="80" w:line="252" w:lineRule="auto"/>
            </w:pPr>
            <w:r>
              <w:rPr>
                <w:rFonts w:ascii="Arial" w:hAnsi="Arial"/>
                <w:sz w:val="19"/>
              </w:rPr>
              <w:t>Eight positions for each selected source rule</w:t>
            </w:r>
          </w:p>
        </w:tc>
      </w:tr>
      <w:tr>
        <w:trPr>
          <w:cantSplit/>
        </w:trPr>
        <w:tc>
          <w:tcPr>
            <w:tcW w:type="dxa" w:w="3658"/>
            <w:vAlign w:val="center"/>
          </w:tcPr>
          <w:p>
            <w:pPr>
              <w:spacing w:after="80" w:before="80" w:line="252" w:lineRule="auto"/>
            </w:pPr>
            <w:r>
              <w:rPr>
                <w:rFonts w:ascii="Arial" w:hAnsi="Arial"/>
                <w:sz w:val="19"/>
              </w:rPr>
              <w:t>Distinct rule–fact specifications</w:t>
            </w:r>
          </w:p>
        </w:tc>
        <w:tc>
          <w:tcPr>
            <w:tcW w:type="dxa" w:w="1051"/>
            <w:vAlign w:val="center"/>
          </w:tcPr>
          <w:p>
            <w:pPr>
              <w:spacing w:after="80" w:before="80" w:line="252" w:lineRule="auto"/>
            </w:pPr>
            <w:r>
              <w:rPr>
                <w:rFonts w:ascii="Arial" w:hAnsi="Arial"/>
                <w:sz w:val="19"/>
              </w:rPr>
              <w:t>443</w:t>
            </w:r>
          </w:p>
        </w:tc>
        <w:tc>
          <w:tcPr>
            <w:tcW w:type="dxa" w:w="4997"/>
            <w:vAlign w:val="center"/>
          </w:tcPr>
          <w:p>
            <w:pPr>
              <w:spacing w:after="80" w:before="80" w:line="252" w:lineRule="auto"/>
            </w:pPr>
            <w:r>
              <w:rPr>
                <w:rFonts w:ascii="Arial" w:hAnsi="Arial"/>
                <w:sz w:val="19"/>
              </w:rPr>
              <w:t>Remove repeats within source-rule identity</w:t>
            </w:r>
          </w:p>
        </w:tc>
      </w:tr>
      <w:tr>
        <w:trPr>
          <w:cantSplit/>
        </w:trPr>
        <w:tc>
          <w:tcPr>
            <w:tcW w:type="dxa" w:w="3658"/>
            <w:vAlign w:val="center"/>
          </w:tcPr>
          <w:p>
            <w:pPr>
              <w:spacing w:after="80" w:before="80" w:line="252" w:lineRule="auto"/>
            </w:pPr>
            <w:r>
              <w:rPr>
                <w:rFonts w:ascii="Arial" w:hAnsi="Arial"/>
                <w:sz w:val="19"/>
              </w:rPr>
              <w:t>Distinct exact model inputs</w:t>
            </w:r>
          </w:p>
        </w:tc>
        <w:tc>
          <w:tcPr>
            <w:tcW w:type="dxa" w:w="1051"/>
            <w:vAlign w:val="center"/>
          </w:tcPr>
          <w:p>
            <w:pPr>
              <w:spacing w:after="80" w:before="80" w:line="252" w:lineRule="auto"/>
            </w:pPr>
            <w:r>
              <w:rPr>
                <w:rFonts w:ascii="Arial" w:hAnsi="Arial"/>
                <w:sz w:val="19"/>
              </w:rPr>
              <w:t>435</w:t>
            </w:r>
          </w:p>
        </w:tc>
        <w:tc>
          <w:tcPr>
            <w:tcW w:type="dxa" w:w="4997"/>
            <w:vAlign w:val="center"/>
          </w:tcPr>
          <w:p>
            <w:pPr>
              <w:spacing w:after="80" w:before="80" w:line="252" w:lineRule="auto"/>
            </w:pPr>
            <w:r>
              <w:rPr>
                <w:rFonts w:ascii="Arial" w:hAnsi="Arial"/>
                <w:sz w:val="19"/>
              </w:rPr>
              <w:t>Remove repeated fact/clause inputs across rules</w:t>
            </w:r>
          </w:p>
        </w:tc>
      </w:tr>
      <w:tr>
        <w:trPr>
          <w:cantSplit/>
        </w:trPr>
        <w:tc>
          <w:tcPr>
            <w:tcW w:type="dxa" w:w="3658"/>
            <w:vAlign w:val="center"/>
          </w:tcPr>
          <w:p>
            <w:pPr>
              <w:spacing w:after="80" w:before="80" w:line="252" w:lineRule="auto"/>
            </w:pPr>
            <w:r>
              <w:rPr>
                <w:rFonts w:ascii="Arial" w:hAnsi="Arial"/>
                <w:sz w:val="19"/>
              </w:rPr>
              <w:t>Source rules</w:t>
            </w:r>
          </w:p>
        </w:tc>
        <w:tc>
          <w:tcPr>
            <w:tcW w:type="dxa" w:w="1051"/>
            <w:vAlign w:val="center"/>
          </w:tcPr>
          <w:p>
            <w:pPr>
              <w:spacing w:after="80" w:before="80" w:line="252" w:lineRule="auto"/>
            </w:pPr>
            <w:r>
              <w:rPr>
                <w:rFonts w:ascii="Arial" w:hAnsi="Arial"/>
                <w:sz w:val="19"/>
              </w:rPr>
              <w:t>60</w:t>
            </w:r>
          </w:p>
        </w:tc>
        <w:tc>
          <w:tcPr>
            <w:tcW w:type="dxa" w:w="4997"/>
            <w:vAlign w:val="center"/>
          </w:tcPr>
          <w:p>
            <w:pPr>
              <w:spacing w:after="80" w:before="80" w:line="252" w:lineRule="auto"/>
            </w:pPr>
            <w:r>
              <w:rPr>
                <w:rFonts w:ascii="Arial" w:hAnsi="Arial"/>
                <w:sz w:val="19"/>
              </w:rPr>
              <w:t>Primary uncertainty clusters for the local tests</w:t>
            </w:r>
          </w:p>
        </w:tc>
      </w:tr>
      <w:tr>
        <w:trPr>
          <w:cantSplit/>
        </w:trPr>
        <w:tc>
          <w:tcPr>
            <w:tcW w:type="dxa" w:w="3658"/>
            <w:vAlign w:val="center"/>
          </w:tcPr>
          <w:p>
            <w:pPr>
              <w:spacing w:after="80" w:before="80" w:line="252" w:lineRule="auto"/>
            </w:pPr>
            <w:r>
              <w:rPr>
                <w:rFonts w:ascii="Arial" w:hAnsi="Arial"/>
                <w:sz w:val="19"/>
              </w:rPr>
              <w:t>Literal clauses</w:t>
            </w:r>
          </w:p>
        </w:tc>
        <w:tc>
          <w:tcPr>
            <w:tcW w:type="dxa" w:w="1051"/>
            <w:vAlign w:val="center"/>
          </w:tcPr>
          <w:p>
            <w:pPr>
              <w:spacing w:after="80" w:before="80" w:line="252" w:lineRule="auto"/>
            </w:pPr>
            <w:r>
              <w:rPr>
                <w:rFonts w:ascii="Arial" w:hAnsi="Arial"/>
                <w:sz w:val="19"/>
              </w:rPr>
              <w:t>59</w:t>
            </w:r>
          </w:p>
        </w:tc>
        <w:tc>
          <w:tcPr>
            <w:tcW w:type="dxa" w:w="4997"/>
            <w:vAlign w:val="center"/>
          </w:tcPr>
          <w:p>
            <w:pPr>
              <w:spacing w:after="80" w:before="80" w:line="252" w:lineRule="auto"/>
            </w:pPr>
            <w:r>
              <w:rPr>
                <w:rFonts w:ascii="Arial" w:hAnsi="Arial"/>
                <w:sz w:val="19"/>
              </w:rPr>
              <w:t>Alternative clusters after matching identical wording</w:t>
            </w:r>
          </w:p>
        </w:tc>
      </w:tr>
      <w:tr>
        <w:trPr>
          <w:cantSplit/>
        </w:trPr>
        <w:tc>
          <w:tcPr>
            <w:tcW w:type="dxa" w:w="3658"/>
            <w:vAlign w:val="center"/>
          </w:tcPr>
          <w:p>
            <w:pPr>
              <w:spacing w:after="80" w:before="80" w:line="252" w:lineRule="auto"/>
            </w:pPr>
            <w:r>
              <w:rPr>
                <w:rFonts w:ascii="Arial" w:hAnsi="Arial"/>
                <w:sz w:val="19"/>
              </w:rPr>
              <w:t>Historical revision mechanism slots</w:t>
            </w:r>
          </w:p>
        </w:tc>
        <w:tc>
          <w:tcPr>
            <w:tcW w:type="dxa" w:w="1051"/>
            <w:vAlign w:val="center"/>
          </w:tcPr>
          <w:p>
            <w:pPr>
              <w:spacing w:after="80" w:before="80" w:line="252" w:lineRule="auto"/>
            </w:pPr>
            <w:r>
              <w:rPr>
                <w:rFonts w:ascii="Arial" w:hAnsi="Arial"/>
                <w:sz w:val="19"/>
              </w:rPr>
              <w:t>96</w:t>
            </w:r>
          </w:p>
        </w:tc>
        <w:tc>
          <w:tcPr>
            <w:tcW w:type="dxa" w:w="4997"/>
            <w:vAlign w:val="center"/>
          </w:tcPr>
          <w:p>
            <w:pPr>
              <w:spacing w:after="80" w:before="80" w:line="252" w:lineRule="auto"/>
            </w:pPr>
            <w:r>
              <w:rPr>
                <w:rFonts w:ascii="Arial" w:hAnsi="Arial"/>
                <w:sz w:val="19"/>
              </w:rPr>
              <w:t>48 paired comparisons in twelve families</w:t>
            </w:r>
          </w:p>
        </w:tc>
      </w:tr>
      <w:tr>
        <w:trPr>
          <w:cantSplit/>
        </w:trPr>
        <w:tc>
          <w:tcPr>
            <w:tcW w:type="dxa" w:w="3658"/>
            <w:vAlign w:val="center"/>
          </w:tcPr>
          <w:p>
            <w:pPr>
              <w:spacing w:after="80" w:before="80" w:line="252" w:lineRule="auto"/>
            </w:pPr>
            <w:r>
              <w:rPr>
                <w:rFonts w:ascii="Arial" w:hAnsi="Arial"/>
                <w:sz w:val="19"/>
              </w:rPr>
              <w:t>Historical revision exact inputs</w:t>
            </w:r>
          </w:p>
        </w:tc>
        <w:tc>
          <w:tcPr>
            <w:tcW w:type="dxa" w:w="1051"/>
            <w:vAlign w:val="center"/>
          </w:tcPr>
          <w:p>
            <w:pPr>
              <w:spacing w:after="80" w:before="80" w:line="252" w:lineRule="auto"/>
            </w:pPr>
            <w:r>
              <w:rPr>
                <w:rFonts w:ascii="Arial" w:hAnsi="Arial"/>
                <w:sz w:val="19"/>
              </w:rPr>
              <w:t>88</w:t>
            </w:r>
          </w:p>
        </w:tc>
        <w:tc>
          <w:tcPr>
            <w:tcW w:type="dxa" w:w="4997"/>
            <w:vAlign w:val="center"/>
          </w:tcPr>
          <w:p>
            <w:pPr>
              <w:spacing w:after="80" w:before="80" w:line="252" w:lineRule="auto"/>
            </w:pPr>
            <w:r>
              <w:rPr>
                <w:rFonts w:ascii="Arial" w:hAnsi="Arial"/>
                <w:sz w:val="19"/>
              </w:rPr>
              <w:t>Remove shared mechanism controls</w:t>
            </w:r>
          </w:p>
        </w:tc>
      </w:tr>
      <w:tr>
        <w:trPr>
          <w:cantSplit/>
        </w:trPr>
        <w:tc>
          <w:tcPr>
            <w:tcW w:type="dxa" w:w="3658"/>
            <w:vAlign w:val="center"/>
          </w:tcPr>
          <w:p>
            <w:pPr>
              <w:spacing w:after="80" w:before="80" w:line="252" w:lineRule="auto"/>
            </w:pPr>
            <w:r>
              <w:rPr>
                <w:rFonts w:ascii="Arial" w:hAnsi="Arial"/>
                <w:sz w:val="19"/>
              </w:rPr>
              <w:t>Real numerical pairs</w:t>
            </w:r>
          </w:p>
        </w:tc>
        <w:tc>
          <w:tcPr>
            <w:tcW w:type="dxa" w:w="1051"/>
            <w:vAlign w:val="center"/>
          </w:tcPr>
          <w:p>
            <w:pPr>
              <w:spacing w:after="80" w:before="80" w:line="252" w:lineRule="auto"/>
            </w:pPr>
            <w:r>
              <w:rPr>
                <w:rFonts w:ascii="Arial" w:hAnsi="Arial"/>
                <w:sz w:val="19"/>
              </w:rPr>
              <w:t>33</w:t>
            </w:r>
          </w:p>
        </w:tc>
        <w:tc>
          <w:tcPr>
            <w:tcW w:type="dxa" w:w="4997"/>
            <w:vAlign w:val="center"/>
          </w:tcPr>
          <w:p>
            <w:pPr>
              <w:spacing w:after="80" w:before="80" w:line="252" w:lineRule="auto"/>
            </w:pPr>
            <w:r>
              <w:rPr>
                <w:rFonts w:ascii="Arial" w:hAnsi="Arial"/>
                <w:sz w:val="19"/>
              </w:rPr>
              <w:t>43 source-coded conditions; restricted factual inputs</w:t>
            </w:r>
          </w:p>
        </w:tc>
      </w:tr>
    </w:tbl>
    <w:p>
      <w:pPr>
        <w:spacing w:after="20"/>
      </w:pPr>
    </w:p>
    <w:p>
      <w:r>
        <w:t>These counts are not added together. The source-coded real-case layers define test-only representations; the 480 and 96 constructed inputs supply diagnostic interventions rather than additional customs decisions. No confidence interval treats every constructed slot as an independent real-world observation. Reference states for printed strict bounds follow their literal endpoint conventions; approximately stated values without a specified tolerance cannot be converted into precise points.</w:t>
      </w:r>
    </w:p>
    <w:p>
      <w:pPr>
        <w:pStyle w:val="Heading2"/>
      </w:pPr>
      <w:r>
        <w:t>S5.6 Complete hypothetical cost grid</w:t>
      </w:r>
    </w:p>
    <w:p>
      <w:r>
        <w:t>For the original model configurations and a fixed administrative target, loss per pair is (false grants × grant cost + false denials + referrals × referral cost) / 73. A referral is assumed to receive a correct review at the stated fixed cost. Review-all loss therefore equals that cost. This assumption omits residual review errors, queue limits and actual financial consequences. The tables retain the entire specified grid; they are sensitivity calculations.</w:t>
      </w:r>
    </w:p>
    <w:p>
      <w:pPr>
        <w:keepNext/>
      </w:pPr>
      <w:r>
        <w:rPr>
          <w:b/>
        </w:rPr>
        <w:t>Table S5.4 Native-output loss for the original configurations</w:t>
      </w:r>
    </w:p>
    <w:tbl>
      <w:tblPr>
        <w:tblW w:type="auto" w:w="0"/>
        <w:jc w:val="center"/>
        <w:tblLayout w:type="fixed"/>
        <w:tblLook w:firstColumn="1" w:firstRow="1" w:lastColumn="0" w:lastRow="0" w:noHBand="0" w:noVBand="1" w:val="04A0"/>
        <w:tblBorders>
          <w:top w:val="single" w:sz="7" w:color="404040"/>
          <w:bottom w:val="single" w:sz="7" w:color="404040"/>
          <w:left w:val="nil" w:sz="0" w:color="404040"/>
          <w:right w:val="nil" w:sz="0" w:color="404040"/>
          <w:insideH w:val="nil" w:sz="0" w:color="404040"/>
          <w:insideV w:val="nil" w:sz="0" w:color="404040"/>
        </w:tblBorders>
        <w:tblLayout w:type="fixed"/>
      </w:tblPr>
      <w:tblGrid>
        <w:gridCol w:w="1757"/>
        <w:gridCol w:w="1886"/>
        <w:gridCol w:w="1339"/>
        <w:gridCol w:w="1627"/>
        <w:gridCol w:w="1339"/>
        <w:gridCol w:w="1757"/>
      </w:tblGrid>
      <w:tr>
        <w:trPr>
          <w:cantSplit/>
          <w:tblHeader/>
        </w:trPr>
        <w:tc>
          <w:tcPr>
            <w:tcW w:type="dxa" w:w="1757"/>
            <w:vAlign w:val="center"/>
            <w:tcBorders>
              <w:bottom w:val="single" w:sz="5" w:color="404040"/>
            </w:tcBorders>
          </w:tcPr>
          <w:p>
            <w:pPr>
              <w:keepNext/>
              <w:spacing w:after="80" w:before="80" w:line="252" w:lineRule="auto"/>
            </w:pPr>
            <w:r>
              <w:rPr>
                <w:rFonts w:ascii="Arial" w:hAnsi="Arial"/>
                <w:b/>
                <w:sz w:val="19"/>
              </w:rPr>
              <w:t>Grant cost</w:t>
            </w:r>
          </w:p>
        </w:tc>
        <w:tc>
          <w:tcPr>
            <w:tcW w:type="dxa" w:w="1886"/>
            <w:vAlign w:val="center"/>
            <w:tcBorders>
              <w:bottom w:val="single" w:sz="5" w:color="404040"/>
            </w:tcBorders>
          </w:tcPr>
          <w:p>
            <w:pPr>
              <w:keepNext/>
              <w:spacing w:after="80" w:before="80" w:line="252" w:lineRule="auto"/>
            </w:pPr>
            <w:r>
              <w:rPr>
                <w:rFonts w:ascii="Arial" w:hAnsi="Arial"/>
                <w:b/>
                <w:sz w:val="19"/>
              </w:rPr>
              <w:t>Review cost</w:t>
            </w:r>
          </w:p>
        </w:tc>
        <w:tc>
          <w:tcPr>
            <w:tcW w:type="dxa" w:w="1339"/>
            <w:vAlign w:val="center"/>
            <w:tcBorders>
              <w:bottom w:val="single" w:sz="5" w:color="404040"/>
            </w:tcBorders>
          </w:tcPr>
          <w:p>
            <w:pPr>
              <w:keepNext/>
              <w:spacing w:after="80" w:before="80" w:line="252" w:lineRule="auto"/>
            </w:pPr>
            <w:r>
              <w:rPr>
                <w:rFonts w:ascii="Arial" w:hAnsi="Arial"/>
                <w:b/>
                <w:sz w:val="19"/>
              </w:rPr>
              <w:t>DeBERTa</w:t>
            </w:r>
          </w:p>
        </w:tc>
        <w:tc>
          <w:tcPr>
            <w:tcW w:type="dxa" w:w="1627"/>
            <w:vAlign w:val="center"/>
            <w:tcBorders>
              <w:bottom w:val="single" w:sz="5" w:color="404040"/>
            </w:tcBorders>
          </w:tcPr>
          <w:p>
            <w:pPr>
              <w:keepNext/>
              <w:spacing w:after="80" w:before="80" w:line="252" w:lineRule="auto"/>
            </w:pPr>
            <w:r>
              <w:rPr>
                <w:rFonts w:ascii="Arial" w:hAnsi="Arial"/>
                <w:b/>
                <w:sz w:val="19"/>
              </w:rPr>
              <w:t>Qwen 0.6B</w:t>
            </w:r>
          </w:p>
        </w:tc>
        <w:tc>
          <w:tcPr>
            <w:tcW w:type="dxa" w:w="1339"/>
            <w:vAlign w:val="center"/>
            <w:tcBorders>
              <w:bottom w:val="single" w:sz="5" w:color="404040"/>
            </w:tcBorders>
          </w:tcPr>
          <w:p>
            <w:pPr>
              <w:keepNext/>
              <w:spacing w:after="80" w:before="80" w:line="252" w:lineRule="auto"/>
            </w:pPr>
            <w:r>
              <w:rPr>
                <w:rFonts w:ascii="Arial" w:hAnsi="Arial"/>
                <w:b/>
                <w:sz w:val="19"/>
              </w:rPr>
              <w:t>Qwen 4B</w:t>
            </w:r>
          </w:p>
        </w:tc>
        <w:tc>
          <w:tcPr>
            <w:tcW w:type="dxa" w:w="1757"/>
            <w:vAlign w:val="center"/>
            <w:tcBorders>
              <w:bottom w:val="single" w:sz="5" w:color="404040"/>
            </w:tcBorders>
          </w:tcPr>
          <w:p>
            <w:pPr>
              <w:keepNext/>
              <w:spacing w:after="80" w:before="80" w:line="252" w:lineRule="auto"/>
            </w:pPr>
            <w:r>
              <w:rPr>
                <w:rFonts w:ascii="Arial" w:hAnsi="Arial"/>
                <w:b/>
                <w:sz w:val="19"/>
              </w:rPr>
              <w:t>Review all</w:t>
            </w:r>
          </w:p>
        </w:tc>
      </w:tr>
      <w:tr>
        <w:trPr>
          <w:cantSplit/>
        </w:trPr>
        <w:tc>
          <w:tcPr>
            <w:tcW w:type="dxa" w:w="1757"/>
            <w:vAlign w:val="center"/>
          </w:tcPr>
          <w:p>
            <w:pPr>
              <w:spacing w:after="80" w:before="80" w:line="252" w:lineRule="auto"/>
            </w:pPr>
            <w:r>
              <w:rPr>
                <w:rFonts w:ascii="Arial" w:hAnsi="Arial"/>
                <w:sz w:val="19"/>
              </w:rPr>
              <w:t>1</w:t>
            </w:r>
          </w:p>
        </w:tc>
        <w:tc>
          <w:tcPr>
            <w:tcW w:type="dxa" w:w="1886"/>
            <w:vAlign w:val="center"/>
          </w:tcPr>
          <w:p>
            <w:pPr>
              <w:spacing w:after="80" w:before="80" w:line="252" w:lineRule="auto"/>
            </w:pPr>
            <w:r>
              <w:rPr>
                <w:rFonts w:ascii="Arial" w:hAnsi="Arial"/>
                <w:sz w:val="19"/>
              </w:rPr>
              <w:t>0.10</w:t>
            </w:r>
          </w:p>
        </w:tc>
        <w:tc>
          <w:tcPr>
            <w:tcW w:type="dxa" w:w="1339"/>
            <w:vAlign w:val="center"/>
          </w:tcPr>
          <w:p>
            <w:pPr>
              <w:spacing w:after="80" w:before="80" w:line="252" w:lineRule="auto"/>
            </w:pPr>
            <w:r>
              <w:rPr>
                <w:rFonts w:ascii="Arial" w:hAnsi="Arial"/>
                <w:sz w:val="19"/>
              </w:rPr>
              <w:t>0.263</w:t>
            </w:r>
          </w:p>
        </w:tc>
        <w:tc>
          <w:tcPr>
            <w:tcW w:type="dxa" w:w="1627"/>
            <w:vAlign w:val="center"/>
          </w:tcPr>
          <w:p>
            <w:pPr>
              <w:spacing w:after="80" w:before="80" w:line="252" w:lineRule="auto"/>
            </w:pPr>
            <w:r>
              <w:rPr>
                <w:rFonts w:ascii="Arial" w:hAnsi="Arial"/>
                <w:sz w:val="19"/>
              </w:rPr>
              <w:t>0.356</w:t>
            </w:r>
          </w:p>
        </w:tc>
        <w:tc>
          <w:tcPr>
            <w:tcW w:type="dxa" w:w="1339"/>
            <w:vAlign w:val="center"/>
          </w:tcPr>
          <w:p>
            <w:pPr>
              <w:spacing w:after="80" w:before="80" w:line="252" w:lineRule="auto"/>
            </w:pPr>
            <w:r>
              <w:rPr>
                <w:rFonts w:ascii="Arial" w:hAnsi="Arial"/>
                <w:sz w:val="19"/>
              </w:rPr>
              <w:t>0.323</w:t>
            </w:r>
          </w:p>
        </w:tc>
        <w:tc>
          <w:tcPr>
            <w:tcW w:type="dxa" w:w="1757"/>
            <w:vAlign w:val="center"/>
          </w:tcPr>
          <w:p>
            <w:pPr>
              <w:spacing w:after="80" w:before="80" w:line="252" w:lineRule="auto"/>
            </w:pPr>
            <w:r>
              <w:rPr>
                <w:rFonts w:ascii="Arial" w:hAnsi="Arial"/>
                <w:sz w:val="19"/>
              </w:rPr>
              <w:t>0.100</w:t>
            </w:r>
          </w:p>
        </w:tc>
      </w:tr>
      <w:tr>
        <w:trPr>
          <w:cantSplit/>
        </w:trPr>
        <w:tc>
          <w:tcPr>
            <w:tcW w:type="dxa" w:w="1757"/>
            <w:vAlign w:val="center"/>
          </w:tcPr>
          <w:p>
            <w:pPr>
              <w:spacing w:after="80" w:before="80" w:line="252" w:lineRule="auto"/>
            </w:pPr>
            <w:r>
              <w:rPr>
                <w:rFonts w:ascii="Arial" w:hAnsi="Arial"/>
                <w:sz w:val="19"/>
              </w:rPr>
              <w:t>1</w:t>
            </w:r>
          </w:p>
        </w:tc>
        <w:tc>
          <w:tcPr>
            <w:tcW w:type="dxa" w:w="1886"/>
            <w:vAlign w:val="center"/>
          </w:tcPr>
          <w:p>
            <w:pPr>
              <w:spacing w:after="80" w:before="80" w:line="252" w:lineRule="auto"/>
            </w:pPr>
            <w:r>
              <w:rPr>
                <w:rFonts w:ascii="Arial" w:hAnsi="Arial"/>
                <w:sz w:val="19"/>
              </w:rPr>
              <w:t>0.25</w:t>
            </w:r>
          </w:p>
        </w:tc>
        <w:tc>
          <w:tcPr>
            <w:tcW w:type="dxa" w:w="1339"/>
            <w:vAlign w:val="center"/>
          </w:tcPr>
          <w:p>
            <w:pPr>
              <w:spacing w:after="80" w:before="80" w:line="252" w:lineRule="auto"/>
            </w:pPr>
            <w:r>
              <w:rPr>
                <w:rFonts w:ascii="Arial" w:hAnsi="Arial"/>
                <w:sz w:val="19"/>
              </w:rPr>
              <w:t>0.349</w:t>
            </w:r>
          </w:p>
        </w:tc>
        <w:tc>
          <w:tcPr>
            <w:tcW w:type="dxa" w:w="1627"/>
            <w:vAlign w:val="center"/>
          </w:tcPr>
          <w:p>
            <w:pPr>
              <w:spacing w:after="80" w:before="80" w:line="252" w:lineRule="auto"/>
            </w:pPr>
            <w:r>
              <w:rPr>
                <w:rFonts w:ascii="Arial" w:hAnsi="Arial"/>
                <w:sz w:val="19"/>
              </w:rPr>
              <w:t>0.356</w:t>
            </w:r>
          </w:p>
        </w:tc>
        <w:tc>
          <w:tcPr>
            <w:tcW w:type="dxa" w:w="1339"/>
            <w:vAlign w:val="center"/>
          </w:tcPr>
          <w:p>
            <w:pPr>
              <w:spacing w:after="80" w:before="80" w:line="252" w:lineRule="auto"/>
            </w:pPr>
            <w:r>
              <w:rPr>
                <w:rFonts w:ascii="Arial" w:hAnsi="Arial"/>
                <w:sz w:val="19"/>
              </w:rPr>
              <w:t>0.336</w:t>
            </w:r>
          </w:p>
        </w:tc>
        <w:tc>
          <w:tcPr>
            <w:tcW w:type="dxa" w:w="1757"/>
            <w:vAlign w:val="center"/>
          </w:tcPr>
          <w:p>
            <w:pPr>
              <w:spacing w:after="80" w:before="80" w:line="252" w:lineRule="auto"/>
            </w:pPr>
            <w:r>
              <w:rPr>
                <w:rFonts w:ascii="Arial" w:hAnsi="Arial"/>
                <w:sz w:val="19"/>
              </w:rPr>
              <w:t>0.250</w:t>
            </w:r>
          </w:p>
        </w:tc>
      </w:tr>
      <w:tr>
        <w:trPr>
          <w:cantSplit/>
        </w:trPr>
        <w:tc>
          <w:tcPr>
            <w:tcW w:type="dxa" w:w="1757"/>
            <w:vAlign w:val="center"/>
          </w:tcPr>
          <w:p>
            <w:pPr>
              <w:spacing w:after="80" w:before="80" w:line="252" w:lineRule="auto"/>
            </w:pPr>
            <w:r>
              <w:rPr>
                <w:rFonts w:ascii="Arial" w:hAnsi="Arial"/>
                <w:sz w:val="19"/>
              </w:rPr>
              <w:t>1</w:t>
            </w:r>
          </w:p>
        </w:tc>
        <w:tc>
          <w:tcPr>
            <w:tcW w:type="dxa" w:w="1886"/>
            <w:vAlign w:val="center"/>
          </w:tcPr>
          <w:p>
            <w:pPr>
              <w:spacing w:after="80" w:before="80" w:line="252" w:lineRule="auto"/>
            </w:pPr>
            <w:r>
              <w:rPr>
                <w:rFonts w:ascii="Arial" w:hAnsi="Arial"/>
                <w:sz w:val="19"/>
              </w:rPr>
              <w:t>0.50</w:t>
            </w:r>
          </w:p>
        </w:tc>
        <w:tc>
          <w:tcPr>
            <w:tcW w:type="dxa" w:w="1339"/>
            <w:vAlign w:val="center"/>
          </w:tcPr>
          <w:p>
            <w:pPr>
              <w:spacing w:after="80" w:before="80" w:line="252" w:lineRule="auto"/>
            </w:pPr>
            <w:r>
              <w:rPr>
                <w:rFonts w:ascii="Arial" w:hAnsi="Arial"/>
                <w:sz w:val="19"/>
              </w:rPr>
              <w:t>0.493</w:t>
            </w:r>
          </w:p>
        </w:tc>
        <w:tc>
          <w:tcPr>
            <w:tcW w:type="dxa" w:w="1627"/>
            <w:vAlign w:val="center"/>
          </w:tcPr>
          <w:p>
            <w:pPr>
              <w:spacing w:after="80" w:before="80" w:line="252" w:lineRule="auto"/>
            </w:pPr>
            <w:r>
              <w:rPr>
                <w:rFonts w:ascii="Arial" w:hAnsi="Arial"/>
                <w:sz w:val="19"/>
              </w:rPr>
              <w:t>0.356</w:t>
            </w:r>
          </w:p>
        </w:tc>
        <w:tc>
          <w:tcPr>
            <w:tcW w:type="dxa" w:w="1339"/>
            <w:vAlign w:val="center"/>
          </w:tcPr>
          <w:p>
            <w:pPr>
              <w:spacing w:after="80" w:before="80" w:line="252" w:lineRule="auto"/>
            </w:pPr>
            <w:r>
              <w:rPr>
                <w:rFonts w:ascii="Arial" w:hAnsi="Arial"/>
                <w:sz w:val="19"/>
              </w:rPr>
              <w:t>0.356</w:t>
            </w:r>
          </w:p>
        </w:tc>
        <w:tc>
          <w:tcPr>
            <w:tcW w:type="dxa" w:w="1757"/>
            <w:vAlign w:val="center"/>
          </w:tcPr>
          <w:p>
            <w:pPr>
              <w:spacing w:after="80" w:before="80" w:line="252" w:lineRule="auto"/>
            </w:pPr>
            <w:r>
              <w:rPr>
                <w:rFonts w:ascii="Arial" w:hAnsi="Arial"/>
                <w:sz w:val="19"/>
              </w:rPr>
              <w:t>0.500</w:t>
            </w:r>
          </w:p>
        </w:tc>
      </w:tr>
      <w:tr>
        <w:trPr>
          <w:cantSplit/>
        </w:trPr>
        <w:tc>
          <w:tcPr>
            <w:tcW w:type="dxa" w:w="1757"/>
            <w:vAlign w:val="center"/>
          </w:tcPr>
          <w:p>
            <w:pPr>
              <w:spacing w:after="80" w:before="80" w:line="252" w:lineRule="auto"/>
            </w:pPr>
            <w:r>
              <w:rPr>
                <w:rFonts w:ascii="Arial" w:hAnsi="Arial"/>
                <w:sz w:val="19"/>
              </w:rPr>
              <w:t>5</w:t>
            </w:r>
          </w:p>
        </w:tc>
        <w:tc>
          <w:tcPr>
            <w:tcW w:type="dxa" w:w="1886"/>
            <w:vAlign w:val="center"/>
          </w:tcPr>
          <w:p>
            <w:pPr>
              <w:spacing w:after="80" w:before="80" w:line="252" w:lineRule="auto"/>
            </w:pPr>
            <w:r>
              <w:rPr>
                <w:rFonts w:ascii="Arial" w:hAnsi="Arial"/>
                <w:sz w:val="19"/>
              </w:rPr>
              <w:t>0.10</w:t>
            </w:r>
          </w:p>
        </w:tc>
        <w:tc>
          <w:tcPr>
            <w:tcW w:type="dxa" w:w="1339"/>
            <w:vAlign w:val="center"/>
          </w:tcPr>
          <w:p>
            <w:pPr>
              <w:spacing w:after="80" w:before="80" w:line="252" w:lineRule="auto"/>
            </w:pPr>
            <w:r>
              <w:rPr>
                <w:rFonts w:ascii="Arial" w:hAnsi="Arial"/>
                <w:sz w:val="19"/>
              </w:rPr>
              <w:t>0.482</w:t>
            </w:r>
          </w:p>
        </w:tc>
        <w:tc>
          <w:tcPr>
            <w:tcW w:type="dxa" w:w="1627"/>
            <w:vAlign w:val="center"/>
          </w:tcPr>
          <w:p>
            <w:pPr>
              <w:spacing w:after="80" w:before="80" w:line="252" w:lineRule="auto"/>
            </w:pPr>
            <w:r>
              <w:rPr>
                <w:rFonts w:ascii="Arial" w:hAnsi="Arial"/>
                <w:sz w:val="19"/>
              </w:rPr>
              <w:t>1.781</w:t>
            </w:r>
          </w:p>
        </w:tc>
        <w:tc>
          <w:tcPr>
            <w:tcW w:type="dxa" w:w="1339"/>
            <w:vAlign w:val="center"/>
          </w:tcPr>
          <w:p>
            <w:pPr>
              <w:spacing w:after="80" w:before="80" w:line="252" w:lineRule="auto"/>
            </w:pPr>
            <w:r>
              <w:rPr>
                <w:rFonts w:ascii="Arial" w:hAnsi="Arial"/>
                <w:sz w:val="19"/>
              </w:rPr>
              <w:t>0.871</w:t>
            </w:r>
          </w:p>
        </w:tc>
        <w:tc>
          <w:tcPr>
            <w:tcW w:type="dxa" w:w="1757"/>
            <w:vAlign w:val="center"/>
          </w:tcPr>
          <w:p>
            <w:pPr>
              <w:spacing w:after="80" w:before="80" w:line="252" w:lineRule="auto"/>
            </w:pPr>
            <w:r>
              <w:rPr>
                <w:rFonts w:ascii="Arial" w:hAnsi="Arial"/>
                <w:sz w:val="19"/>
              </w:rPr>
              <w:t>0.100</w:t>
            </w:r>
          </w:p>
        </w:tc>
      </w:tr>
      <w:tr>
        <w:trPr>
          <w:cantSplit/>
        </w:trPr>
        <w:tc>
          <w:tcPr>
            <w:tcW w:type="dxa" w:w="1757"/>
            <w:vAlign w:val="center"/>
          </w:tcPr>
          <w:p>
            <w:pPr>
              <w:spacing w:after="80" w:before="80" w:line="252" w:lineRule="auto"/>
            </w:pPr>
            <w:r>
              <w:rPr>
                <w:rFonts w:ascii="Arial" w:hAnsi="Arial"/>
                <w:sz w:val="19"/>
              </w:rPr>
              <w:t>5</w:t>
            </w:r>
          </w:p>
        </w:tc>
        <w:tc>
          <w:tcPr>
            <w:tcW w:type="dxa" w:w="1886"/>
            <w:vAlign w:val="center"/>
          </w:tcPr>
          <w:p>
            <w:pPr>
              <w:spacing w:after="80" w:before="80" w:line="252" w:lineRule="auto"/>
            </w:pPr>
            <w:r>
              <w:rPr>
                <w:rFonts w:ascii="Arial" w:hAnsi="Arial"/>
                <w:sz w:val="19"/>
              </w:rPr>
              <w:t>0.25</w:t>
            </w:r>
          </w:p>
        </w:tc>
        <w:tc>
          <w:tcPr>
            <w:tcW w:type="dxa" w:w="1339"/>
            <w:vAlign w:val="center"/>
          </w:tcPr>
          <w:p>
            <w:pPr>
              <w:spacing w:after="80" w:before="80" w:line="252" w:lineRule="auto"/>
            </w:pPr>
            <w:r>
              <w:rPr>
                <w:rFonts w:ascii="Arial" w:hAnsi="Arial"/>
                <w:sz w:val="19"/>
              </w:rPr>
              <w:t>0.568</w:t>
            </w:r>
          </w:p>
        </w:tc>
        <w:tc>
          <w:tcPr>
            <w:tcW w:type="dxa" w:w="1627"/>
            <w:vAlign w:val="center"/>
          </w:tcPr>
          <w:p>
            <w:pPr>
              <w:spacing w:after="80" w:before="80" w:line="252" w:lineRule="auto"/>
            </w:pPr>
            <w:r>
              <w:rPr>
                <w:rFonts w:ascii="Arial" w:hAnsi="Arial"/>
                <w:sz w:val="19"/>
              </w:rPr>
              <w:t>1.781</w:t>
            </w:r>
          </w:p>
        </w:tc>
        <w:tc>
          <w:tcPr>
            <w:tcW w:type="dxa" w:w="1339"/>
            <w:vAlign w:val="center"/>
          </w:tcPr>
          <w:p>
            <w:pPr>
              <w:spacing w:after="80" w:before="80" w:line="252" w:lineRule="auto"/>
            </w:pPr>
            <w:r>
              <w:rPr>
                <w:rFonts w:ascii="Arial" w:hAnsi="Arial"/>
                <w:sz w:val="19"/>
              </w:rPr>
              <w:t>0.884</w:t>
            </w:r>
          </w:p>
        </w:tc>
        <w:tc>
          <w:tcPr>
            <w:tcW w:type="dxa" w:w="1757"/>
            <w:vAlign w:val="center"/>
          </w:tcPr>
          <w:p>
            <w:pPr>
              <w:spacing w:after="80" w:before="80" w:line="252" w:lineRule="auto"/>
            </w:pPr>
            <w:r>
              <w:rPr>
                <w:rFonts w:ascii="Arial" w:hAnsi="Arial"/>
                <w:sz w:val="19"/>
              </w:rPr>
              <w:t>0.250</w:t>
            </w:r>
          </w:p>
        </w:tc>
      </w:tr>
      <w:tr>
        <w:trPr>
          <w:cantSplit/>
        </w:trPr>
        <w:tc>
          <w:tcPr>
            <w:tcW w:type="dxa" w:w="1757"/>
            <w:vAlign w:val="center"/>
          </w:tcPr>
          <w:p>
            <w:pPr>
              <w:spacing w:after="80" w:before="80" w:line="252" w:lineRule="auto"/>
            </w:pPr>
            <w:r>
              <w:rPr>
                <w:rFonts w:ascii="Arial" w:hAnsi="Arial"/>
                <w:sz w:val="19"/>
              </w:rPr>
              <w:t>5</w:t>
            </w:r>
          </w:p>
        </w:tc>
        <w:tc>
          <w:tcPr>
            <w:tcW w:type="dxa" w:w="1886"/>
            <w:vAlign w:val="center"/>
          </w:tcPr>
          <w:p>
            <w:pPr>
              <w:spacing w:after="80" w:before="80" w:line="252" w:lineRule="auto"/>
            </w:pPr>
            <w:r>
              <w:rPr>
                <w:rFonts w:ascii="Arial" w:hAnsi="Arial"/>
                <w:sz w:val="19"/>
              </w:rPr>
              <w:t>0.50</w:t>
            </w:r>
          </w:p>
        </w:tc>
        <w:tc>
          <w:tcPr>
            <w:tcW w:type="dxa" w:w="1339"/>
            <w:vAlign w:val="center"/>
          </w:tcPr>
          <w:p>
            <w:pPr>
              <w:spacing w:after="80" w:before="80" w:line="252" w:lineRule="auto"/>
            </w:pPr>
            <w:r>
              <w:rPr>
                <w:rFonts w:ascii="Arial" w:hAnsi="Arial"/>
                <w:sz w:val="19"/>
              </w:rPr>
              <w:t>0.712</w:t>
            </w:r>
          </w:p>
        </w:tc>
        <w:tc>
          <w:tcPr>
            <w:tcW w:type="dxa" w:w="1627"/>
            <w:vAlign w:val="center"/>
          </w:tcPr>
          <w:p>
            <w:pPr>
              <w:spacing w:after="80" w:before="80" w:line="252" w:lineRule="auto"/>
            </w:pPr>
            <w:r>
              <w:rPr>
                <w:rFonts w:ascii="Arial" w:hAnsi="Arial"/>
                <w:sz w:val="19"/>
              </w:rPr>
              <w:t>1.781</w:t>
            </w:r>
          </w:p>
        </w:tc>
        <w:tc>
          <w:tcPr>
            <w:tcW w:type="dxa" w:w="1339"/>
            <w:vAlign w:val="center"/>
          </w:tcPr>
          <w:p>
            <w:pPr>
              <w:spacing w:after="80" w:before="80" w:line="252" w:lineRule="auto"/>
            </w:pPr>
            <w:r>
              <w:rPr>
                <w:rFonts w:ascii="Arial" w:hAnsi="Arial"/>
                <w:sz w:val="19"/>
              </w:rPr>
              <w:t>0.904</w:t>
            </w:r>
          </w:p>
        </w:tc>
        <w:tc>
          <w:tcPr>
            <w:tcW w:type="dxa" w:w="1757"/>
            <w:vAlign w:val="center"/>
          </w:tcPr>
          <w:p>
            <w:pPr>
              <w:spacing w:after="80" w:before="80" w:line="252" w:lineRule="auto"/>
            </w:pPr>
            <w:r>
              <w:rPr>
                <w:rFonts w:ascii="Arial" w:hAnsi="Arial"/>
                <w:sz w:val="19"/>
              </w:rPr>
              <w:t>0.500</w:t>
            </w:r>
          </w:p>
        </w:tc>
      </w:tr>
      <w:tr>
        <w:trPr>
          <w:cantSplit/>
        </w:trPr>
        <w:tc>
          <w:tcPr>
            <w:tcW w:type="dxa" w:w="1757"/>
            <w:vAlign w:val="center"/>
          </w:tcPr>
          <w:p>
            <w:pPr>
              <w:spacing w:after="80" w:before="80" w:line="252" w:lineRule="auto"/>
            </w:pPr>
            <w:r>
              <w:rPr>
                <w:rFonts w:ascii="Arial" w:hAnsi="Arial"/>
                <w:sz w:val="19"/>
              </w:rPr>
              <w:t>10</w:t>
            </w:r>
          </w:p>
        </w:tc>
        <w:tc>
          <w:tcPr>
            <w:tcW w:type="dxa" w:w="1886"/>
            <w:vAlign w:val="center"/>
          </w:tcPr>
          <w:p>
            <w:pPr>
              <w:spacing w:after="80" w:before="80" w:line="252" w:lineRule="auto"/>
            </w:pPr>
            <w:r>
              <w:rPr>
                <w:rFonts w:ascii="Arial" w:hAnsi="Arial"/>
                <w:sz w:val="19"/>
              </w:rPr>
              <w:t>0.10</w:t>
            </w:r>
          </w:p>
        </w:tc>
        <w:tc>
          <w:tcPr>
            <w:tcW w:type="dxa" w:w="1339"/>
            <w:vAlign w:val="center"/>
          </w:tcPr>
          <w:p>
            <w:pPr>
              <w:spacing w:after="80" w:before="80" w:line="252" w:lineRule="auto"/>
            </w:pPr>
            <w:r>
              <w:rPr>
                <w:rFonts w:ascii="Arial" w:hAnsi="Arial"/>
                <w:sz w:val="19"/>
              </w:rPr>
              <w:t>0.756</w:t>
            </w:r>
          </w:p>
        </w:tc>
        <w:tc>
          <w:tcPr>
            <w:tcW w:type="dxa" w:w="1627"/>
            <w:vAlign w:val="center"/>
          </w:tcPr>
          <w:p>
            <w:pPr>
              <w:spacing w:after="80" w:before="80" w:line="252" w:lineRule="auto"/>
            </w:pPr>
            <w:r>
              <w:rPr>
                <w:rFonts w:ascii="Arial" w:hAnsi="Arial"/>
                <w:sz w:val="19"/>
              </w:rPr>
              <w:t>3.562</w:t>
            </w:r>
          </w:p>
        </w:tc>
        <w:tc>
          <w:tcPr>
            <w:tcW w:type="dxa" w:w="1339"/>
            <w:vAlign w:val="center"/>
          </w:tcPr>
          <w:p>
            <w:pPr>
              <w:spacing w:after="80" w:before="80" w:line="252" w:lineRule="auto"/>
            </w:pPr>
            <w:r>
              <w:rPr>
                <w:rFonts w:ascii="Arial" w:hAnsi="Arial"/>
                <w:sz w:val="19"/>
              </w:rPr>
              <w:t>1.556</w:t>
            </w:r>
          </w:p>
        </w:tc>
        <w:tc>
          <w:tcPr>
            <w:tcW w:type="dxa" w:w="1757"/>
            <w:vAlign w:val="center"/>
          </w:tcPr>
          <w:p>
            <w:pPr>
              <w:spacing w:after="80" w:before="80" w:line="252" w:lineRule="auto"/>
            </w:pPr>
            <w:r>
              <w:rPr>
                <w:rFonts w:ascii="Arial" w:hAnsi="Arial"/>
                <w:sz w:val="19"/>
              </w:rPr>
              <w:t>0.100</w:t>
            </w:r>
          </w:p>
        </w:tc>
      </w:tr>
      <w:tr>
        <w:trPr>
          <w:cantSplit/>
        </w:trPr>
        <w:tc>
          <w:tcPr>
            <w:tcW w:type="dxa" w:w="1757"/>
            <w:vAlign w:val="center"/>
          </w:tcPr>
          <w:p>
            <w:pPr>
              <w:spacing w:after="80" w:before="80" w:line="252" w:lineRule="auto"/>
            </w:pPr>
            <w:r>
              <w:rPr>
                <w:rFonts w:ascii="Arial" w:hAnsi="Arial"/>
                <w:sz w:val="19"/>
              </w:rPr>
              <w:t>10</w:t>
            </w:r>
          </w:p>
        </w:tc>
        <w:tc>
          <w:tcPr>
            <w:tcW w:type="dxa" w:w="1886"/>
            <w:vAlign w:val="center"/>
          </w:tcPr>
          <w:p>
            <w:pPr>
              <w:spacing w:after="80" w:before="80" w:line="252" w:lineRule="auto"/>
            </w:pPr>
            <w:r>
              <w:rPr>
                <w:rFonts w:ascii="Arial" w:hAnsi="Arial"/>
                <w:sz w:val="19"/>
              </w:rPr>
              <w:t>0.25</w:t>
            </w:r>
          </w:p>
        </w:tc>
        <w:tc>
          <w:tcPr>
            <w:tcW w:type="dxa" w:w="1339"/>
            <w:vAlign w:val="center"/>
          </w:tcPr>
          <w:p>
            <w:pPr>
              <w:spacing w:after="80" w:before="80" w:line="252" w:lineRule="auto"/>
            </w:pPr>
            <w:r>
              <w:rPr>
                <w:rFonts w:ascii="Arial" w:hAnsi="Arial"/>
                <w:sz w:val="19"/>
              </w:rPr>
              <w:t>0.842</w:t>
            </w:r>
          </w:p>
        </w:tc>
        <w:tc>
          <w:tcPr>
            <w:tcW w:type="dxa" w:w="1627"/>
            <w:vAlign w:val="center"/>
          </w:tcPr>
          <w:p>
            <w:pPr>
              <w:spacing w:after="80" w:before="80" w:line="252" w:lineRule="auto"/>
            </w:pPr>
            <w:r>
              <w:rPr>
                <w:rFonts w:ascii="Arial" w:hAnsi="Arial"/>
                <w:sz w:val="19"/>
              </w:rPr>
              <w:t>3.562</w:t>
            </w:r>
          </w:p>
        </w:tc>
        <w:tc>
          <w:tcPr>
            <w:tcW w:type="dxa" w:w="1339"/>
            <w:vAlign w:val="center"/>
          </w:tcPr>
          <w:p>
            <w:pPr>
              <w:spacing w:after="80" w:before="80" w:line="252" w:lineRule="auto"/>
            </w:pPr>
            <w:r>
              <w:rPr>
                <w:rFonts w:ascii="Arial" w:hAnsi="Arial"/>
                <w:sz w:val="19"/>
              </w:rPr>
              <w:t>1.568</w:t>
            </w:r>
          </w:p>
        </w:tc>
        <w:tc>
          <w:tcPr>
            <w:tcW w:type="dxa" w:w="1757"/>
            <w:vAlign w:val="center"/>
          </w:tcPr>
          <w:p>
            <w:pPr>
              <w:spacing w:after="80" w:before="80" w:line="252" w:lineRule="auto"/>
            </w:pPr>
            <w:r>
              <w:rPr>
                <w:rFonts w:ascii="Arial" w:hAnsi="Arial"/>
                <w:sz w:val="19"/>
              </w:rPr>
              <w:t>0.250</w:t>
            </w:r>
          </w:p>
        </w:tc>
      </w:tr>
      <w:tr>
        <w:trPr>
          <w:cantSplit/>
        </w:trPr>
        <w:tc>
          <w:tcPr>
            <w:tcW w:type="dxa" w:w="1757"/>
            <w:vAlign w:val="center"/>
          </w:tcPr>
          <w:p>
            <w:pPr>
              <w:spacing w:after="80" w:before="80" w:line="252" w:lineRule="auto"/>
            </w:pPr>
            <w:r>
              <w:rPr>
                <w:rFonts w:ascii="Arial" w:hAnsi="Arial"/>
                <w:sz w:val="19"/>
              </w:rPr>
              <w:t>10</w:t>
            </w:r>
          </w:p>
        </w:tc>
        <w:tc>
          <w:tcPr>
            <w:tcW w:type="dxa" w:w="1886"/>
            <w:vAlign w:val="center"/>
          </w:tcPr>
          <w:p>
            <w:pPr>
              <w:spacing w:after="80" w:before="80" w:line="252" w:lineRule="auto"/>
            </w:pPr>
            <w:r>
              <w:rPr>
                <w:rFonts w:ascii="Arial" w:hAnsi="Arial"/>
                <w:sz w:val="19"/>
              </w:rPr>
              <w:t>0.50</w:t>
            </w:r>
          </w:p>
        </w:tc>
        <w:tc>
          <w:tcPr>
            <w:tcW w:type="dxa" w:w="1339"/>
            <w:vAlign w:val="center"/>
          </w:tcPr>
          <w:p>
            <w:pPr>
              <w:spacing w:after="80" w:before="80" w:line="252" w:lineRule="auto"/>
            </w:pPr>
            <w:r>
              <w:rPr>
                <w:rFonts w:ascii="Arial" w:hAnsi="Arial"/>
                <w:sz w:val="19"/>
              </w:rPr>
              <w:t>0.986</w:t>
            </w:r>
          </w:p>
        </w:tc>
        <w:tc>
          <w:tcPr>
            <w:tcW w:type="dxa" w:w="1627"/>
            <w:vAlign w:val="center"/>
          </w:tcPr>
          <w:p>
            <w:pPr>
              <w:spacing w:after="80" w:before="80" w:line="252" w:lineRule="auto"/>
            </w:pPr>
            <w:r>
              <w:rPr>
                <w:rFonts w:ascii="Arial" w:hAnsi="Arial"/>
                <w:sz w:val="19"/>
              </w:rPr>
              <w:t>3.562</w:t>
            </w:r>
          </w:p>
        </w:tc>
        <w:tc>
          <w:tcPr>
            <w:tcW w:type="dxa" w:w="1339"/>
            <w:vAlign w:val="center"/>
          </w:tcPr>
          <w:p>
            <w:pPr>
              <w:spacing w:after="80" w:before="80" w:line="252" w:lineRule="auto"/>
            </w:pPr>
            <w:r>
              <w:rPr>
                <w:rFonts w:ascii="Arial" w:hAnsi="Arial"/>
                <w:sz w:val="19"/>
              </w:rPr>
              <w:t>1.589</w:t>
            </w:r>
          </w:p>
        </w:tc>
        <w:tc>
          <w:tcPr>
            <w:tcW w:type="dxa" w:w="1757"/>
            <w:vAlign w:val="center"/>
          </w:tcPr>
          <w:p>
            <w:pPr>
              <w:spacing w:after="80" w:before="80" w:line="252" w:lineRule="auto"/>
            </w:pPr>
            <w:r>
              <w:rPr>
                <w:rFonts w:ascii="Arial" w:hAnsi="Arial"/>
                <w:sz w:val="19"/>
              </w:rPr>
              <w:t>0.500</w:t>
            </w:r>
          </w:p>
        </w:tc>
      </w:tr>
      <w:tr>
        <w:trPr>
          <w:cantSplit/>
        </w:trPr>
        <w:tc>
          <w:tcPr>
            <w:tcW w:type="dxa" w:w="1757"/>
            <w:vAlign w:val="center"/>
          </w:tcPr>
          <w:p>
            <w:pPr>
              <w:spacing w:after="80" w:before="80" w:line="252" w:lineRule="auto"/>
            </w:pPr>
            <w:r>
              <w:rPr>
                <w:rFonts w:ascii="Arial" w:hAnsi="Arial"/>
                <w:sz w:val="19"/>
              </w:rPr>
              <w:t>25</w:t>
            </w:r>
          </w:p>
        </w:tc>
        <w:tc>
          <w:tcPr>
            <w:tcW w:type="dxa" w:w="1886"/>
            <w:vAlign w:val="center"/>
          </w:tcPr>
          <w:p>
            <w:pPr>
              <w:spacing w:after="80" w:before="80" w:line="252" w:lineRule="auto"/>
            </w:pPr>
            <w:r>
              <w:rPr>
                <w:rFonts w:ascii="Arial" w:hAnsi="Arial"/>
                <w:sz w:val="19"/>
              </w:rPr>
              <w:t>0.10</w:t>
            </w:r>
          </w:p>
        </w:tc>
        <w:tc>
          <w:tcPr>
            <w:tcW w:type="dxa" w:w="1339"/>
            <w:vAlign w:val="center"/>
          </w:tcPr>
          <w:p>
            <w:pPr>
              <w:spacing w:after="80" w:before="80" w:line="252" w:lineRule="auto"/>
            </w:pPr>
            <w:r>
              <w:rPr>
                <w:rFonts w:ascii="Arial" w:hAnsi="Arial"/>
                <w:sz w:val="19"/>
              </w:rPr>
              <w:t>1.578</w:t>
            </w:r>
          </w:p>
        </w:tc>
        <w:tc>
          <w:tcPr>
            <w:tcW w:type="dxa" w:w="1627"/>
            <w:vAlign w:val="center"/>
          </w:tcPr>
          <w:p>
            <w:pPr>
              <w:spacing w:after="80" w:before="80" w:line="252" w:lineRule="auto"/>
            </w:pPr>
            <w:r>
              <w:rPr>
                <w:rFonts w:ascii="Arial" w:hAnsi="Arial"/>
                <w:sz w:val="19"/>
              </w:rPr>
              <w:t>8.904</w:t>
            </w:r>
          </w:p>
        </w:tc>
        <w:tc>
          <w:tcPr>
            <w:tcW w:type="dxa" w:w="1339"/>
            <w:vAlign w:val="center"/>
          </w:tcPr>
          <w:p>
            <w:pPr>
              <w:spacing w:after="80" w:before="80" w:line="252" w:lineRule="auto"/>
            </w:pPr>
            <w:r>
              <w:rPr>
                <w:rFonts w:ascii="Arial" w:hAnsi="Arial"/>
                <w:sz w:val="19"/>
              </w:rPr>
              <w:t>3.611</w:t>
            </w:r>
          </w:p>
        </w:tc>
        <w:tc>
          <w:tcPr>
            <w:tcW w:type="dxa" w:w="1757"/>
            <w:vAlign w:val="center"/>
          </w:tcPr>
          <w:p>
            <w:pPr>
              <w:spacing w:after="80" w:before="80" w:line="252" w:lineRule="auto"/>
            </w:pPr>
            <w:r>
              <w:rPr>
                <w:rFonts w:ascii="Arial" w:hAnsi="Arial"/>
                <w:sz w:val="19"/>
              </w:rPr>
              <w:t>0.100</w:t>
            </w:r>
          </w:p>
        </w:tc>
      </w:tr>
      <w:tr>
        <w:trPr>
          <w:cantSplit/>
        </w:trPr>
        <w:tc>
          <w:tcPr>
            <w:tcW w:type="dxa" w:w="1757"/>
            <w:vAlign w:val="center"/>
          </w:tcPr>
          <w:p>
            <w:pPr>
              <w:spacing w:after="80" w:before="80" w:line="252" w:lineRule="auto"/>
            </w:pPr>
            <w:r>
              <w:rPr>
                <w:rFonts w:ascii="Arial" w:hAnsi="Arial"/>
                <w:sz w:val="19"/>
              </w:rPr>
              <w:t>25</w:t>
            </w:r>
          </w:p>
        </w:tc>
        <w:tc>
          <w:tcPr>
            <w:tcW w:type="dxa" w:w="1886"/>
            <w:vAlign w:val="center"/>
          </w:tcPr>
          <w:p>
            <w:pPr>
              <w:spacing w:after="80" w:before="80" w:line="252" w:lineRule="auto"/>
            </w:pPr>
            <w:r>
              <w:rPr>
                <w:rFonts w:ascii="Arial" w:hAnsi="Arial"/>
                <w:sz w:val="19"/>
              </w:rPr>
              <w:t>0.25</w:t>
            </w:r>
          </w:p>
        </w:tc>
        <w:tc>
          <w:tcPr>
            <w:tcW w:type="dxa" w:w="1339"/>
            <w:vAlign w:val="center"/>
          </w:tcPr>
          <w:p>
            <w:pPr>
              <w:spacing w:after="80" w:before="80" w:line="252" w:lineRule="auto"/>
            </w:pPr>
            <w:r>
              <w:rPr>
                <w:rFonts w:ascii="Arial" w:hAnsi="Arial"/>
                <w:sz w:val="19"/>
              </w:rPr>
              <w:t>1.664</w:t>
            </w:r>
          </w:p>
        </w:tc>
        <w:tc>
          <w:tcPr>
            <w:tcW w:type="dxa" w:w="1627"/>
            <w:vAlign w:val="center"/>
          </w:tcPr>
          <w:p>
            <w:pPr>
              <w:spacing w:after="80" w:before="80" w:line="252" w:lineRule="auto"/>
            </w:pPr>
            <w:r>
              <w:rPr>
                <w:rFonts w:ascii="Arial" w:hAnsi="Arial"/>
                <w:sz w:val="19"/>
              </w:rPr>
              <w:t>8.904</w:t>
            </w:r>
          </w:p>
        </w:tc>
        <w:tc>
          <w:tcPr>
            <w:tcW w:type="dxa" w:w="1339"/>
            <w:vAlign w:val="center"/>
          </w:tcPr>
          <w:p>
            <w:pPr>
              <w:spacing w:after="80" w:before="80" w:line="252" w:lineRule="auto"/>
            </w:pPr>
            <w:r>
              <w:rPr>
                <w:rFonts w:ascii="Arial" w:hAnsi="Arial"/>
                <w:sz w:val="19"/>
              </w:rPr>
              <w:t>3.623</w:t>
            </w:r>
          </w:p>
        </w:tc>
        <w:tc>
          <w:tcPr>
            <w:tcW w:type="dxa" w:w="1757"/>
            <w:vAlign w:val="center"/>
          </w:tcPr>
          <w:p>
            <w:pPr>
              <w:spacing w:after="80" w:before="80" w:line="252" w:lineRule="auto"/>
            </w:pPr>
            <w:r>
              <w:rPr>
                <w:rFonts w:ascii="Arial" w:hAnsi="Arial"/>
                <w:sz w:val="19"/>
              </w:rPr>
              <w:t>0.250</w:t>
            </w:r>
          </w:p>
        </w:tc>
      </w:tr>
      <w:tr>
        <w:trPr>
          <w:cantSplit/>
        </w:trPr>
        <w:tc>
          <w:tcPr>
            <w:tcW w:type="dxa" w:w="1757"/>
            <w:vAlign w:val="center"/>
          </w:tcPr>
          <w:p>
            <w:pPr>
              <w:spacing w:after="80" w:before="80" w:line="252" w:lineRule="auto"/>
            </w:pPr>
            <w:r>
              <w:rPr>
                <w:rFonts w:ascii="Arial" w:hAnsi="Arial"/>
                <w:sz w:val="19"/>
              </w:rPr>
              <w:t>25</w:t>
            </w:r>
          </w:p>
        </w:tc>
        <w:tc>
          <w:tcPr>
            <w:tcW w:type="dxa" w:w="1886"/>
            <w:vAlign w:val="center"/>
          </w:tcPr>
          <w:p>
            <w:pPr>
              <w:spacing w:after="80" w:before="80" w:line="252" w:lineRule="auto"/>
            </w:pPr>
            <w:r>
              <w:rPr>
                <w:rFonts w:ascii="Arial" w:hAnsi="Arial"/>
                <w:sz w:val="19"/>
              </w:rPr>
              <w:t>0.50</w:t>
            </w:r>
          </w:p>
        </w:tc>
        <w:tc>
          <w:tcPr>
            <w:tcW w:type="dxa" w:w="1339"/>
            <w:vAlign w:val="center"/>
          </w:tcPr>
          <w:p>
            <w:pPr>
              <w:spacing w:after="80" w:before="80" w:line="252" w:lineRule="auto"/>
            </w:pPr>
            <w:r>
              <w:rPr>
                <w:rFonts w:ascii="Arial" w:hAnsi="Arial"/>
                <w:sz w:val="19"/>
              </w:rPr>
              <w:t>1.808</w:t>
            </w:r>
          </w:p>
        </w:tc>
        <w:tc>
          <w:tcPr>
            <w:tcW w:type="dxa" w:w="1627"/>
            <w:vAlign w:val="center"/>
          </w:tcPr>
          <w:p>
            <w:pPr>
              <w:spacing w:after="80" w:before="80" w:line="252" w:lineRule="auto"/>
            </w:pPr>
            <w:r>
              <w:rPr>
                <w:rFonts w:ascii="Arial" w:hAnsi="Arial"/>
                <w:sz w:val="19"/>
              </w:rPr>
              <w:t>8.904</w:t>
            </w:r>
          </w:p>
        </w:tc>
        <w:tc>
          <w:tcPr>
            <w:tcW w:type="dxa" w:w="1339"/>
            <w:vAlign w:val="center"/>
          </w:tcPr>
          <w:p>
            <w:pPr>
              <w:spacing w:after="80" w:before="80" w:line="252" w:lineRule="auto"/>
            </w:pPr>
            <w:r>
              <w:rPr>
                <w:rFonts w:ascii="Arial" w:hAnsi="Arial"/>
                <w:sz w:val="19"/>
              </w:rPr>
              <w:t>3.644</w:t>
            </w:r>
          </w:p>
        </w:tc>
        <w:tc>
          <w:tcPr>
            <w:tcW w:type="dxa" w:w="1757"/>
            <w:vAlign w:val="center"/>
          </w:tcPr>
          <w:p>
            <w:pPr>
              <w:spacing w:after="80" w:before="80" w:line="252" w:lineRule="auto"/>
            </w:pPr>
            <w:r>
              <w:rPr>
                <w:rFonts w:ascii="Arial" w:hAnsi="Arial"/>
                <w:sz w:val="19"/>
              </w:rPr>
              <w:t>0.500</w:t>
            </w:r>
          </w:p>
        </w:tc>
      </w:tr>
    </w:tbl>
    <w:p>
      <w:pPr>
        <w:spacing w:after="20"/>
      </w:pPr>
    </w:p>
    <w:p>
      <w:pPr>
        <w:keepNext/>
      </w:pPr>
      <w:r>
        <w:rPr>
          <w:b/>
        </w:rPr>
        <w:t>Table S5.5 Frozen-guard loss</w:t>
      </w:r>
    </w:p>
    <w:tbl>
      <w:tblPr>
        <w:tblW w:type="auto" w:w="0"/>
        <w:jc w:val="center"/>
        <w:tblLayout w:type="fixed"/>
        <w:tblLook w:firstColumn="1" w:firstRow="1" w:lastColumn="0" w:lastRow="0" w:noHBand="0" w:noVBand="1" w:val="04A0"/>
        <w:tblBorders>
          <w:top w:val="single" w:sz="7" w:color="404040"/>
          <w:bottom w:val="single" w:sz="7" w:color="404040"/>
          <w:left w:val="nil" w:sz="0" w:color="404040"/>
          <w:right w:val="nil" w:sz="0" w:color="404040"/>
          <w:insideH w:val="nil" w:sz="0" w:color="404040"/>
          <w:insideV w:val="nil" w:sz="0" w:color="404040"/>
        </w:tblBorders>
        <w:tblLayout w:type="fixed"/>
      </w:tblPr>
      <w:tblGrid>
        <w:gridCol w:w="1757"/>
        <w:gridCol w:w="1886"/>
        <w:gridCol w:w="1339"/>
        <w:gridCol w:w="1627"/>
        <w:gridCol w:w="1339"/>
        <w:gridCol w:w="1757"/>
      </w:tblGrid>
      <w:tr>
        <w:trPr>
          <w:cantSplit/>
          <w:tblHeader/>
        </w:trPr>
        <w:tc>
          <w:tcPr>
            <w:tcW w:type="dxa" w:w="1757"/>
            <w:vAlign w:val="center"/>
            <w:tcBorders>
              <w:bottom w:val="single" w:sz="5" w:color="404040"/>
            </w:tcBorders>
          </w:tcPr>
          <w:p>
            <w:pPr>
              <w:keepNext/>
              <w:spacing w:after="80" w:before="80" w:line="252" w:lineRule="auto"/>
            </w:pPr>
            <w:r>
              <w:rPr>
                <w:rFonts w:ascii="Arial" w:hAnsi="Arial"/>
                <w:b/>
                <w:sz w:val="19"/>
              </w:rPr>
              <w:t>Grant cost</w:t>
            </w:r>
          </w:p>
        </w:tc>
        <w:tc>
          <w:tcPr>
            <w:tcW w:type="dxa" w:w="1886"/>
            <w:vAlign w:val="center"/>
            <w:tcBorders>
              <w:bottom w:val="single" w:sz="5" w:color="404040"/>
            </w:tcBorders>
          </w:tcPr>
          <w:p>
            <w:pPr>
              <w:keepNext/>
              <w:spacing w:after="80" w:before="80" w:line="252" w:lineRule="auto"/>
            </w:pPr>
            <w:r>
              <w:rPr>
                <w:rFonts w:ascii="Arial" w:hAnsi="Arial"/>
                <w:b/>
                <w:sz w:val="19"/>
              </w:rPr>
              <w:t>Review cost</w:t>
            </w:r>
          </w:p>
        </w:tc>
        <w:tc>
          <w:tcPr>
            <w:tcW w:type="dxa" w:w="1339"/>
            <w:vAlign w:val="center"/>
            <w:tcBorders>
              <w:bottom w:val="single" w:sz="5" w:color="404040"/>
            </w:tcBorders>
          </w:tcPr>
          <w:p>
            <w:pPr>
              <w:keepNext/>
              <w:spacing w:after="80" w:before="80" w:line="252" w:lineRule="auto"/>
            </w:pPr>
            <w:r>
              <w:rPr>
                <w:rFonts w:ascii="Arial" w:hAnsi="Arial"/>
                <w:b/>
                <w:sz w:val="19"/>
              </w:rPr>
              <w:t>DeBERTa</w:t>
            </w:r>
          </w:p>
        </w:tc>
        <w:tc>
          <w:tcPr>
            <w:tcW w:type="dxa" w:w="1627"/>
            <w:vAlign w:val="center"/>
            <w:tcBorders>
              <w:bottom w:val="single" w:sz="5" w:color="404040"/>
            </w:tcBorders>
          </w:tcPr>
          <w:p>
            <w:pPr>
              <w:keepNext/>
              <w:spacing w:after="80" w:before="80" w:line="252" w:lineRule="auto"/>
            </w:pPr>
            <w:r>
              <w:rPr>
                <w:rFonts w:ascii="Arial" w:hAnsi="Arial"/>
                <w:b/>
                <w:sz w:val="19"/>
              </w:rPr>
              <w:t>Qwen 0.6B</w:t>
            </w:r>
          </w:p>
        </w:tc>
        <w:tc>
          <w:tcPr>
            <w:tcW w:type="dxa" w:w="1339"/>
            <w:vAlign w:val="center"/>
            <w:tcBorders>
              <w:bottom w:val="single" w:sz="5" w:color="404040"/>
            </w:tcBorders>
          </w:tcPr>
          <w:p>
            <w:pPr>
              <w:keepNext/>
              <w:spacing w:after="80" w:before="80" w:line="252" w:lineRule="auto"/>
            </w:pPr>
            <w:r>
              <w:rPr>
                <w:rFonts w:ascii="Arial" w:hAnsi="Arial"/>
                <w:b/>
                <w:sz w:val="19"/>
              </w:rPr>
              <w:t>Qwen 4B</w:t>
            </w:r>
          </w:p>
        </w:tc>
        <w:tc>
          <w:tcPr>
            <w:tcW w:type="dxa" w:w="1757"/>
            <w:vAlign w:val="center"/>
            <w:tcBorders>
              <w:bottom w:val="single" w:sz="5" w:color="404040"/>
            </w:tcBorders>
          </w:tcPr>
          <w:p>
            <w:pPr>
              <w:keepNext/>
              <w:spacing w:after="80" w:before="80" w:line="252" w:lineRule="auto"/>
            </w:pPr>
            <w:r>
              <w:rPr>
                <w:rFonts w:ascii="Arial" w:hAnsi="Arial"/>
                <w:b/>
                <w:sz w:val="19"/>
              </w:rPr>
              <w:t>Review all</w:t>
            </w:r>
          </w:p>
        </w:tc>
      </w:tr>
      <w:tr>
        <w:trPr>
          <w:cantSplit/>
        </w:trPr>
        <w:tc>
          <w:tcPr>
            <w:tcW w:type="dxa" w:w="1757"/>
            <w:vAlign w:val="center"/>
          </w:tcPr>
          <w:p>
            <w:pPr>
              <w:spacing w:after="80" w:before="80" w:line="252" w:lineRule="auto"/>
            </w:pPr>
            <w:r>
              <w:rPr>
                <w:rFonts w:ascii="Arial" w:hAnsi="Arial"/>
                <w:sz w:val="19"/>
              </w:rPr>
              <w:t>1</w:t>
            </w:r>
          </w:p>
        </w:tc>
        <w:tc>
          <w:tcPr>
            <w:tcW w:type="dxa" w:w="1886"/>
            <w:vAlign w:val="center"/>
          </w:tcPr>
          <w:p>
            <w:pPr>
              <w:spacing w:after="80" w:before="80" w:line="252" w:lineRule="auto"/>
            </w:pPr>
            <w:r>
              <w:rPr>
                <w:rFonts w:ascii="Arial" w:hAnsi="Arial"/>
                <w:sz w:val="19"/>
              </w:rPr>
              <w:t>0.10</w:t>
            </w:r>
          </w:p>
        </w:tc>
        <w:tc>
          <w:tcPr>
            <w:tcW w:type="dxa" w:w="1339"/>
            <w:vAlign w:val="center"/>
          </w:tcPr>
          <w:p>
            <w:pPr>
              <w:spacing w:after="80" w:before="80" w:line="252" w:lineRule="auto"/>
            </w:pPr>
            <w:r>
              <w:rPr>
                <w:rFonts w:ascii="Arial" w:hAnsi="Arial"/>
                <w:sz w:val="19"/>
              </w:rPr>
              <w:t>0.222</w:t>
            </w:r>
          </w:p>
        </w:tc>
        <w:tc>
          <w:tcPr>
            <w:tcW w:type="dxa" w:w="1627"/>
            <w:vAlign w:val="center"/>
          </w:tcPr>
          <w:p>
            <w:pPr>
              <w:spacing w:after="80" w:before="80" w:line="252" w:lineRule="auto"/>
            </w:pPr>
            <w:r>
              <w:rPr>
                <w:rFonts w:ascii="Arial" w:hAnsi="Arial"/>
                <w:sz w:val="19"/>
              </w:rPr>
              <w:t>0.234</w:t>
            </w:r>
          </w:p>
        </w:tc>
        <w:tc>
          <w:tcPr>
            <w:tcW w:type="dxa" w:w="1339"/>
            <w:vAlign w:val="center"/>
          </w:tcPr>
          <w:p>
            <w:pPr>
              <w:spacing w:after="80" w:before="80" w:line="252" w:lineRule="auto"/>
            </w:pPr>
            <w:r>
              <w:rPr>
                <w:rFonts w:ascii="Arial" w:hAnsi="Arial"/>
                <w:sz w:val="19"/>
              </w:rPr>
              <w:t>0.241</w:t>
            </w:r>
          </w:p>
        </w:tc>
        <w:tc>
          <w:tcPr>
            <w:tcW w:type="dxa" w:w="1757"/>
            <w:vAlign w:val="center"/>
          </w:tcPr>
          <w:p>
            <w:pPr>
              <w:spacing w:after="80" w:before="80" w:line="252" w:lineRule="auto"/>
            </w:pPr>
            <w:r>
              <w:rPr>
                <w:rFonts w:ascii="Arial" w:hAnsi="Arial"/>
                <w:sz w:val="19"/>
              </w:rPr>
              <w:t>0.100</w:t>
            </w:r>
          </w:p>
        </w:tc>
      </w:tr>
      <w:tr>
        <w:trPr>
          <w:cantSplit/>
        </w:trPr>
        <w:tc>
          <w:tcPr>
            <w:tcW w:type="dxa" w:w="1757"/>
            <w:vAlign w:val="center"/>
          </w:tcPr>
          <w:p>
            <w:pPr>
              <w:spacing w:after="80" w:before="80" w:line="252" w:lineRule="auto"/>
            </w:pPr>
            <w:r>
              <w:rPr>
                <w:rFonts w:ascii="Arial" w:hAnsi="Arial"/>
                <w:sz w:val="19"/>
              </w:rPr>
              <w:t>1</w:t>
            </w:r>
          </w:p>
        </w:tc>
        <w:tc>
          <w:tcPr>
            <w:tcW w:type="dxa" w:w="1886"/>
            <w:vAlign w:val="center"/>
          </w:tcPr>
          <w:p>
            <w:pPr>
              <w:spacing w:after="80" w:before="80" w:line="252" w:lineRule="auto"/>
            </w:pPr>
            <w:r>
              <w:rPr>
                <w:rFonts w:ascii="Arial" w:hAnsi="Arial"/>
                <w:sz w:val="19"/>
              </w:rPr>
              <w:t>0.25</w:t>
            </w:r>
          </w:p>
        </w:tc>
        <w:tc>
          <w:tcPr>
            <w:tcW w:type="dxa" w:w="1339"/>
            <w:vAlign w:val="center"/>
          </w:tcPr>
          <w:p>
            <w:pPr>
              <w:spacing w:after="80" w:before="80" w:line="252" w:lineRule="auto"/>
            </w:pPr>
            <w:r>
              <w:rPr>
                <w:rFonts w:ascii="Arial" w:hAnsi="Arial"/>
                <w:sz w:val="19"/>
              </w:rPr>
              <w:t>0.329</w:t>
            </w:r>
          </w:p>
        </w:tc>
        <w:tc>
          <w:tcPr>
            <w:tcW w:type="dxa" w:w="1627"/>
            <w:vAlign w:val="center"/>
          </w:tcPr>
          <w:p>
            <w:pPr>
              <w:spacing w:after="80" w:before="80" w:line="252" w:lineRule="auto"/>
            </w:pPr>
            <w:r>
              <w:rPr>
                <w:rFonts w:ascii="Arial" w:hAnsi="Arial"/>
                <w:sz w:val="19"/>
              </w:rPr>
              <w:t>0.277</w:t>
            </w:r>
          </w:p>
        </w:tc>
        <w:tc>
          <w:tcPr>
            <w:tcW w:type="dxa" w:w="1339"/>
            <w:vAlign w:val="center"/>
          </w:tcPr>
          <w:p>
            <w:pPr>
              <w:spacing w:after="80" w:before="80" w:line="252" w:lineRule="auto"/>
            </w:pPr>
            <w:r>
              <w:rPr>
                <w:rFonts w:ascii="Arial" w:hAnsi="Arial"/>
                <w:sz w:val="19"/>
              </w:rPr>
              <w:t>0.295</w:t>
            </w:r>
          </w:p>
        </w:tc>
        <w:tc>
          <w:tcPr>
            <w:tcW w:type="dxa" w:w="1757"/>
            <w:vAlign w:val="center"/>
          </w:tcPr>
          <w:p>
            <w:pPr>
              <w:spacing w:after="80" w:before="80" w:line="252" w:lineRule="auto"/>
            </w:pPr>
            <w:r>
              <w:rPr>
                <w:rFonts w:ascii="Arial" w:hAnsi="Arial"/>
                <w:sz w:val="19"/>
              </w:rPr>
              <w:t>0.250</w:t>
            </w:r>
          </w:p>
        </w:tc>
      </w:tr>
      <w:tr>
        <w:trPr>
          <w:cantSplit/>
        </w:trPr>
        <w:tc>
          <w:tcPr>
            <w:tcW w:type="dxa" w:w="1757"/>
            <w:vAlign w:val="center"/>
          </w:tcPr>
          <w:p>
            <w:pPr>
              <w:spacing w:after="80" w:before="80" w:line="252" w:lineRule="auto"/>
            </w:pPr>
            <w:r>
              <w:rPr>
                <w:rFonts w:ascii="Arial" w:hAnsi="Arial"/>
                <w:sz w:val="19"/>
              </w:rPr>
              <w:t>1</w:t>
            </w:r>
          </w:p>
        </w:tc>
        <w:tc>
          <w:tcPr>
            <w:tcW w:type="dxa" w:w="1886"/>
            <w:vAlign w:val="center"/>
          </w:tcPr>
          <w:p>
            <w:pPr>
              <w:spacing w:after="80" w:before="80" w:line="252" w:lineRule="auto"/>
            </w:pPr>
            <w:r>
              <w:rPr>
                <w:rFonts w:ascii="Arial" w:hAnsi="Arial"/>
                <w:sz w:val="19"/>
              </w:rPr>
              <w:t>0.50</w:t>
            </w:r>
          </w:p>
        </w:tc>
        <w:tc>
          <w:tcPr>
            <w:tcW w:type="dxa" w:w="1339"/>
            <w:vAlign w:val="center"/>
          </w:tcPr>
          <w:p>
            <w:pPr>
              <w:spacing w:after="80" w:before="80" w:line="252" w:lineRule="auto"/>
            </w:pPr>
            <w:r>
              <w:rPr>
                <w:rFonts w:ascii="Arial" w:hAnsi="Arial"/>
                <w:sz w:val="19"/>
              </w:rPr>
              <w:t>0.507</w:t>
            </w:r>
          </w:p>
        </w:tc>
        <w:tc>
          <w:tcPr>
            <w:tcW w:type="dxa" w:w="1627"/>
            <w:vAlign w:val="center"/>
          </w:tcPr>
          <w:p>
            <w:pPr>
              <w:spacing w:after="80" w:before="80" w:line="252" w:lineRule="auto"/>
            </w:pPr>
            <w:r>
              <w:rPr>
                <w:rFonts w:ascii="Arial" w:hAnsi="Arial"/>
                <w:sz w:val="19"/>
              </w:rPr>
              <w:t>0.349</w:t>
            </w:r>
          </w:p>
        </w:tc>
        <w:tc>
          <w:tcPr>
            <w:tcW w:type="dxa" w:w="1339"/>
            <w:vAlign w:val="center"/>
          </w:tcPr>
          <w:p>
            <w:pPr>
              <w:spacing w:after="80" w:before="80" w:line="252" w:lineRule="auto"/>
            </w:pPr>
            <w:r>
              <w:rPr>
                <w:rFonts w:ascii="Arial" w:hAnsi="Arial"/>
                <w:sz w:val="19"/>
              </w:rPr>
              <w:t>0.384</w:t>
            </w:r>
          </w:p>
        </w:tc>
        <w:tc>
          <w:tcPr>
            <w:tcW w:type="dxa" w:w="1757"/>
            <w:vAlign w:val="center"/>
          </w:tcPr>
          <w:p>
            <w:pPr>
              <w:spacing w:after="80" w:before="80" w:line="252" w:lineRule="auto"/>
            </w:pPr>
            <w:r>
              <w:rPr>
                <w:rFonts w:ascii="Arial" w:hAnsi="Arial"/>
                <w:sz w:val="19"/>
              </w:rPr>
              <w:t>0.500</w:t>
            </w:r>
          </w:p>
        </w:tc>
      </w:tr>
      <w:tr>
        <w:trPr>
          <w:cantSplit/>
        </w:trPr>
        <w:tc>
          <w:tcPr>
            <w:tcW w:type="dxa" w:w="1757"/>
            <w:vAlign w:val="center"/>
          </w:tcPr>
          <w:p>
            <w:pPr>
              <w:spacing w:after="80" w:before="80" w:line="252" w:lineRule="auto"/>
            </w:pPr>
            <w:r>
              <w:rPr>
                <w:rFonts w:ascii="Arial" w:hAnsi="Arial"/>
                <w:sz w:val="19"/>
              </w:rPr>
              <w:t>5</w:t>
            </w:r>
          </w:p>
        </w:tc>
        <w:tc>
          <w:tcPr>
            <w:tcW w:type="dxa" w:w="1886"/>
            <w:vAlign w:val="center"/>
          </w:tcPr>
          <w:p>
            <w:pPr>
              <w:spacing w:after="80" w:before="80" w:line="252" w:lineRule="auto"/>
            </w:pPr>
            <w:r>
              <w:rPr>
                <w:rFonts w:ascii="Arial" w:hAnsi="Arial"/>
                <w:sz w:val="19"/>
              </w:rPr>
              <w:t>0.10</w:t>
            </w:r>
          </w:p>
        </w:tc>
        <w:tc>
          <w:tcPr>
            <w:tcW w:type="dxa" w:w="1339"/>
            <w:vAlign w:val="center"/>
          </w:tcPr>
          <w:p>
            <w:pPr>
              <w:spacing w:after="80" w:before="80" w:line="252" w:lineRule="auto"/>
            </w:pPr>
            <w:r>
              <w:rPr>
                <w:rFonts w:ascii="Arial" w:hAnsi="Arial"/>
                <w:sz w:val="19"/>
              </w:rPr>
              <w:t>0.332</w:t>
            </w:r>
          </w:p>
        </w:tc>
        <w:tc>
          <w:tcPr>
            <w:tcW w:type="dxa" w:w="1627"/>
            <w:vAlign w:val="center"/>
          </w:tcPr>
          <w:p>
            <w:pPr>
              <w:spacing w:after="80" w:before="80" w:line="252" w:lineRule="auto"/>
            </w:pPr>
            <w:r>
              <w:rPr>
                <w:rFonts w:ascii="Arial" w:hAnsi="Arial"/>
                <w:sz w:val="19"/>
              </w:rPr>
              <w:t>1.001</w:t>
            </w:r>
          </w:p>
        </w:tc>
        <w:tc>
          <w:tcPr>
            <w:tcW w:type="dxa" w:w="1339"/>
            <w:vAlign w:val="center"/>
          </w:tcPr>
          <w:p>
            <w:pPr>
              <w:spacing w:after="80" w:before="80" w:line="252" w:lineRule="auto"/>
            </w:pPr>
            <w:r>
              <w:rPr>
                <w:rFonts w:ascii="Arial" w:hAnsi="Arial"/>
                <w:sz w:val="19"/>
              </w:rPr>
              <w:t>0.515</w:t>
            </w:r>
          </w:p>
        </w:tc>
        <w:tc>
          <w:tcPr>
            <w:tcW w:type="dxa" w:w="1757"/>
            <w:vAlign w:val="center"/>
          </w:tcPr>
          <w:p>
            <w:pPr>
              <w:spacing w:after="80" w:before="80" w:line="252" w:lineRule="auto"/>
            </w:pPr>
            <w:r>
              <w:rPr>
                <w:rFonts w:ascii="Arial" w:hAnsi="Arial"/>
                <w:sz w:val="19"/>
              </w:rPr>
              <w:t>0.100</w:t>
            </w:r>
          </w:p>
        </w:tc>
      </w:tr>
      <w:tr>
        <w:trPr>
          <w:cantSplit/>
        </w:trPr>
        <w:tc>
          <w:tcPr>
            <w:tcW w:type="dxa" w:w="1757"/>
            <w:vAlign w:val="center"/>
          </w:tcPr>
          <w:p>
            <w:pPr>
              <w:spacing w:after="80" w:before="80" w:line="252" w:lineRule="auto"/>
            </w:pPr>
            <w:r>
              <w:rPr>
                <w:rFonts w:ascii="Arial" w:hAnsi="Arial"/>
                <w:sz w:val="19"/>
              </w:rPr>
              <w:t>5</w:t>
            </w:r>
          </w:p>
        </w:tc>
        <w:tc>
          <w:tcPr>
            <w:tcW w:type="dxa" w:w="1886"/>
            <w:vAlign w:val="center"/>
          </w:tcPr>
          <w:p>
            <w:pPr>
              <w:spacing w:after="80" w:before="80" w:line="252" w:lineRule="auto"/>
            </w:pPr>
            <w:r>
              <w:rPr>
                <w:rFonts w:ascii="Arial" w:hAnsi="Arial"/>
                <w:sz w:val="19"/>
              </w:rPr>
              <w:t>0.25</w:t>
            </w:r>
          </w:p>
        </w:tc>
        <w:tc>
          <w:tcPr>
            <w:tcW w:type="dxa" w:w="1339"/>
            <w:vAlign w:val="center"/>
          </w:tcPr>
          <w:p>
            <w:pPr>
              <w:spacing w:after="80" w:before="80" w:line="252" w:lineRule="auto"/>
            </w:pPr>
            <w:r>
              <w:rPr>
                <w:rFonts w:ascii="Arial" w:hAnsi="Arial"/>
                <w:sz w:val="19"/>
              </w:rPr>
              <w:t>0.438</w:t>
            </w:r>
          </w:p>
        </w:tc>
        <w:tc>
          <w:tcPr>
            <w:tcW w:type="dxa" w:w="1627"/>
            <w:vAlign w:val="center"/>
          </w:tcPr>
          <w:p>
            <w:pPr>
              <w:spacing w:after="80" w:before="80" w:line="252" w:lineRule="auto"/>
            </w:pPr>
            <w:r>
              <w:rPr>
                <w:rFonts w:ascii="Arial" w:hAnsi="Arial"/>
                <w:sz w:val="19"/>
              </w:rPr>
              <w:t>1.045</w:t>
            </w:r>
          </w:p>
        </w:tc>
        <w:tc>
          <w:tcPr>
            <w:tcW w:type="dxa" w:w="1339"/>
            <w:vAlign w:val="center"/>
          </w:tcPr>
          <w:p>
            <w:pPr>
              <w:spacing w:after="80" w:before="80" w:line="252" w:lineRule="auto"/>
            </w:pPr>
            <w:r>
              <w:rPr>
                <w:rFonts w:ascii="Arial" w:hAnsi="Arial"/>
                <w:sz w:val="19"/>
              </w:rPr>
              <w:t>0.568</w:t>
            </w:r>
          </w:p>
        </w:tc>
        <w:tc>
          <w:tcPr>
            <w:tcW w:type="dxa" w:w="1757"/>
            <w:vAlign w:val="center"/>
          </w:tcPr>
          <w:p>
            <w:pPr>
              <w:spacing w:after="80" w:before="80" w:line="252" w:lineRule="auto"/>
            </w:pPr>
            <w:r>
              <w:rPr>
                <w:rFonts w:ascii="Arial" w:hAnsi="Arial"/>
                <w:sz w:val="19"/>
              </w:rPr>
              <w:t>0.250</w:t>
            </w:r>
          </w:p>
        </w:tc>
      </w:tr>
      <w:tr>
        <w:trPr>
          <w:cantSplit/>
        </w:trPr>
        <w:tc>
          <w:tcPr>
            <w:tcW w:type="dxa" w:w="1757"/>
            <w:vAlign w:val="center"/>
          </w:tcPr>
          <w:p>
            <w:pPr>
              <w:spacing w:after="80" w:before="80" w:line="252" w:lineRule="auto"/>
            </w:pPr>
            <w:r>
              <w:rPr>
                <w:rFonts w:ascii="Arial" w:hAnsi="Arial"/>
                <w:sz w:val="19"/>
              </w:rPr>
              <w:t>5</w:t>
            </w:r>
          </w:p>
        </w:tc>
        <w:tc>
          <w:tcPr>
            <w:tcW w:type="dxa" w:w="1886"/>
            <w:vAlign w:val="center"/>
          </w:tcPr>
          <w:p>
            <w:pPr>
              <w:spacing w:after="80" w:before="80" w:line="252" w:lineRule="auto"/>
            </w:pPr>
            <w:r>
              <w:rPr>
                <w:rFonts w:ascii="Arial" w:hAnsi="Arial"/>
                <w:sz w:val="19"/>
              </w:rPr>
              <w:t>0.50</w:t>
            </w:r>
          </w:p>
        </w:tc>
        <w:tc>
          <w:tcPr>
            <w:tcW w:type="dxa" w:w="1339"/>
            <w:vAlign w:val="center"/>
          </w:tcPr>
          <w:p>
            <w:pPr>
              <w:spacing w:after="80" w:before="80" w:line="252" w:lineRule="auto"/>
            </w:pPr>
            <w:r>
              <w:rPr>
                <w:rFonts w:ascii="Arial" w:hAnsi="Arial"/>
                <w:sz w:val="19"/>
              </w:rPr>
              <w:t>0.616</w:t>
            </w:r>
          </w:p>
        </w:tc>
        <w:tc>
          <w:tcPr>
            <w:tcW w:type="dxa" w:w="1627"/>
            <w:vAlign w:val="center"/>
          </w:tcPr>
          <w:p>
            <w:pPr>
              <w:spacing w:after="80" w:before="80" w:line="252" w:lineRule="auto"/>
            </w:pPr>
            <w:r>
              <w:rPr>
                <w:rFonts w:ascii="Arial" w:hAnsi="Arial"/>
                <w:sz w:val="19"/>
              </w:rPr>
              <w:t>1.116</w:t>
            </w:r>
          </w:p>
        </w:tc>
        <w:tc>
          <w:tcPr>
            <w:tcW w:type="dxa" w:w="1339"/>
            <w:vAlign w:val="center"/>
          </w:tcPr>
          <w:p>
            <w:pPr>
              <w:spacing w:after="80" w:before="80" w:line="252" w:lineRule="auto"/>
            </w:pPr>
            <w:r>
              <w:rPr>
                <w:rFonts w:ascii="Arial" w:hAnsi="Arial"/>
                <w:sz w:val="19"/>
              </w:rPr>
              <w:t>0.658</w:t>
            </w:r>
          </w:p>
        </w:tc>
        <w:tc>
          <w:tcPr>
            <w:tcW w:type="dxa" w:w="1757"/>
            <w:vAlign w:val="center"/>
          </w:tcPr>
          <w:p>
            <w:pPr>
              <w:spacing w:after="80" w:before="80" w:line="252" w:lineRule="auto"/>
            </w:pPr>
            <w:r>
              <w:rPr>
                <w:rFonts w:ascii="Arial" w:hAnsi="Arial"/>
                <w:sz w:val="19"/>
              </w:rPr>
              <w:t>0.500</w:t>
            </w:r>
          </w:p>
        </w:tc>
      </w:tr>
      <w:tr>
        <w:trPr>
          <w:cantSplit/>
        </w:trPr>
        <w:tc>
          <w:tcPr>
            <w:tcW w:type="dxa" w:w="1757"/>
            <w:vAlign w:val="center"/>
          </w:tcPr>
          <w:p>
            <w:pPr>
              <w:spacing w:after="80" w:before="80" w:line="252" w:lineRule="auto"/>
            </w:pPr>
            <w:r>
              <w:rPr>
                <w:rFonts w:ascii="Arial" w:hAnsi="Arial"/>
                <w:sz w:val="19"/>
              </w:rPr>
              <w:t>10</w:t>
            </w:r>
          </w:p>
        </w:tc>
        <w:tc>
          <w:tcPr>
            <w:tcW w:type="dxa" w:w="1886"/>
            <w:vAlign w:val="center"/>
          </w:tcPr>
          <w:p>
            <w:pPr>
              <w:spacing w:after="80" w:before="80" w:line="252" w:lineRule="auto"/>
            </w:pPr>
            <w:r>
              <w:rPr>
                <w:rFonts w:ascii="Arial" w:hAnsi="Arial"/>
                <w:sz w:val="19"/>
              </w:rPr>
              <w:t>0.10</w:t>
            </w:r>
          </w:p>
        </w:tc>
        <w:tc>
          <w:tcPr>
            <w:tcW w:type="dxa" w:w="1339"/>
            <w:vAlign w:val="center"/>
          </w:tcPr>
          <w:p>
            <w:pPr>
              <w:spacing w:after="80" w:before="80" w:line="252" w:lineRule="auto"/>
            </w:pPr>
            <w:r>
              <w:rPr>
                <w:rFonts w:ascii="Arial" w:hAnsi="Arial"/>
                <w:sz w:val="19"/>
              </w:rPr>
              <w:t>0.468</w:t>
            </w:r>
          </w:p>
        </w:tc>
        <w:tc>
          <w:tcPr>
            <w:tcW w:type="dxa" w:w="1627"/>
            <w:vAlign w:val="center"/>
          </w:tcPr>
          <w:p>
            <w:pPr>
              <w:spacing w:after="80" w:before="80" w:line="252" w:lineRule="auto"/>
            </w:pPr>
            <w:r>
              <w:rPr>
                <w:rFonts w:ascii="Arial" w:hAnsi="Arial"/>
                <w:sz w:val="19"/>
              </w:rPr>
              <w:t>1.960</w:t>
            </w:r>
          </w:p>
        </w:tc>
        <w:tc>
          <w:tcPr>
            <w:tcW w:type="dxa" w:w="1339"/>
            <w:vAlign w:val="center"/>
          </w:tcPr>
          <w:p>
            <w:pPr>
              <w:spacing w:after="80" w:before="80" w:line="252" w:lineRule="auto"/>
            </w:pPr>
            <w:r>
              <w:rPr>
                <w:rFonts w:ascii="Arial" w:hAnsi="Arial"/>
                <w:sz w:val="19"/>
              </w:rPr>
              <w:t>0.858</w:t>
            </w:r>
          </w:p>
        </w:tc>
        <w:tc>
          <w:tcPr>
            <w:tcW w:type="dxa" w:w="1757"/>
            <w:vAlign w:val="center"/>
          </w:tcPr>
          <w:p>
            <w:pPr>
              <w:spacing w:after="80" w:before="80" w:line="252" w:lineRule="auto"/>
            </w:pPr>
            <w:r>
              <w:rPr>
                <w:rFonts w:ascii="Arial" w:hAnsi="Arial"/>
                <w:sz w:val="19"/>
              </w:rPr>
              <w:t>0.100</w:t>
            </w:r>
          </w:p>
        </w:tc>
      </w:tr>
      <w:tr>
        <w:trPr>
          <w:cantSplit/>
        </w:trPr>
        <w:tc>
          <w:tcPr>
            <w:tcW w:type="dxa" w:w="1757"/>
            <w:vAlign w:val="center"/>
          </w:tcPr>
          <w:p>
            <w:pPr>
              <w:spacing w:after="80" w:before="80" w:line="252" w:lineRule="auto"/>
            </w:pPr>
            <w:r>
              <w:rPr>
                <w:rFonts w:ascii="Arial" w:hAnsi="Arial"/>
                <w:sz w:val="19"/>
              </w:rPr>
              <w:t>10</w:t>
            </w:r>
          </w:p>
        </w:tc>
        <w:tc>
          <w:tcPr>
            <w:tcW w:type="dxa" w:w="1886"/>
            <w:vAlign w:val="center"/>
          </w:tcPr>
          <w:p>
            <w:pPr>
              <w:spacing w:after="80" w:before="80" w:line="252" w:lineRule="auto"/>
            </w:pPr>
            <w:r>
              <w:rPr>
                <w:rFonts w:ascii="Arial" w:hAnsi="Arial"/>
                <w:sz w:val="19"/>
              </w:rPr>
              <w:t>0.25</w:t>
            </w:r>
          </w:p>
        </w:tc>
        <w:tc>
          <w:tcPr>
            <w:tcW w:type="dxa" w:w="1339"/>
            <w:vAlign w:val="center"/>
          </w:tcPr>
          <w:p>
            <w:pPr>
              <w:spacing w:after="80" w:before="80" w:line="252" w:lineRule="auto"/>
            </w:pPr>
            <w:r>
              <w:rPr>
                <w:rFonts w:ascii="Arial" w:hAnsi="Arial"/>
                <w:sz w:val="19"/>
              </w:rPr>
              <w:t>0.575</w:t>
            </w:r>
          </w:p>
        </w:tc>
        <w:tc>
          <w:tcPr>
            <w:tcW w:type="dxa" w:w="1627"/>
            <w:vAlign w:val="center"/>
          </w:tcPr>
          <w:p>
            <w:pPr>
              <w:spacing w:after="80" w:before="80" w:line="252" w:lineRule="auto"/>
            </w:pPr>
            <w:r>
              <w:rPr>
                <w:rFonts w:ascii="Arial" w:hAnsi="Arial"/>
                <w:sz w:val="19"/>
              </w:rPr>
              <w:t>2.003</w:t>
            </w:r>
          </w:p>
        </w:tc>
        <w:tc>
          <w:tcPr>
            <w:tcW w:type="dxa" w:w="1339"/>
            <w:vAlign w:val="center"/>
          </w:tcPr>
          <w:p>
            <w:pPr>
              <w:spacing w:after="80" w:before="80" w:line="252" w:lineRule="auto"/>
            </w:pPr>
            <w:r>
              <w:rPr>
                <w:rFonts w:ascii="Arial" w:hAnsi="Arial"/>
                <w:sz w:val="19"/>
              </w:rPr>
              <w:t>0.911</w:t>
            </w:r>
          </w:p>
        </w:tc>
        <w:tc>
          <w:tcPr>
            <w:tcW w:type="dxa" w:w="1757"/>
            <w:vAlign w:val="center"/>
          </w:tcPr>
          <w:p>
            <w:pPr>
              <w:spacing w:after="80" w:before="80" w:line="252" w:lineRule="auto"/>
            </w:pPr>
            <w:r>
              <w:rPr>
                <w:rFonts w:ascii="Arial" w:hAnsi="Arial"/>
                <w:sz w:val="19"/>
              </w:rPr>
              <w:t>0.250</w:t>
            </w:r>
          </w:p>
        </w:tc>
      </w:tr>
      <w:tr>
        <w:trPr>
          <w:cantSplit/>
        </w:trPr>
        <w:tc>
          <w:tcPr>
            <w:tcW w:type="dxa" w:w="1757"/>
            <w:vAlign w:val="center"/>
          </w:tcPr>
          <w:p>
            <w:pPr>
              <w:spacing w:after="80" w:before="80" w:line="252" w:lineRule="auto"/>
            </w:pPr>
            <w:r>
              <w:rPr>
                <w:rFonts w:ascii="Arial" w:hAnsi="Arial"/>
                <w:sz w:val="19"/>
              </w:rPr>
              <w:t>10</w:t>
            </w:r>
          </w:p>
        </w:tc>
        <w:tc>
          <w:tcPr>
            <w:tcW w:type="dxa" w:w="1886"/>
            <w:vAlign w:val="center"/>
          </w:tcPr>
          <w:p>
            <w:pPr>
              <w:spacing w:after="80" w:before="80" w:line="252" w:lineRule="auto"/>
            </w:pPr>
            <w:r>
              <w:rPr>
                <w:rFonts w:ascii="Arial" w:hAnsi="Arial"/>
                <w:sz w:val="19"/>
              </w:rPr>
              <w:t>0.50</w:t>
            </w:r>
          </w:p>
        </w:tc>
        <w:tc>
          <w:tcPr>
            <w:tcW w:type="dxa" w:w="1339"/>
            <w:vAlign w:val="center"/>
          </w:tcPr>
          <w:p>
            <w:pPr>
              <w:spacing w:after="80" w:before="80" w:line="252" w:lineRule="auto"/>
            </w:pPr>
            <w:r>
              <w:rPr>
                <w:rFonts w:ascii="Arial" w:hAnsi="Arial"/>
                <w:sz w:val="19"/>
              </w:rPr>
              <w:t>0.753</w:t>
            </w:r>
          </w:p>
        </w:tc>
        <w:tc>
          <w:tcPr>
            <w:tcW w:type="dxa" w:w="1627"/>
            <w:vAlign w:val="center"/>
          </w:tcPr>
          <w:p>
            <w:pPr>
              <w:spacing w:after="80" w:before="80" w:line="252" w:lineRule="auto"/>
            </w:pPr>
            <w:r>
              <w:rPr>
                <w:rFonts w:ascii="Arial" w:hAnsi="Arial"/>
                <w:sz w:val="19"/>
              </w:rPr>
              <w:t>2.075</w:t>
            </w:r>
          </w:p>
        </w:tc>
        <w:tc>
          <w:tcPr>
            <w:tcW w:type="dxa" w:w="1339"/>
            <w:vAlign w:val="center"/>
          </w:tcPr>
          <w:p>
            <w:pPr>
              <w:spacing w:after="80" w:before="80" w:line="252" w:lineRule="auto"/>
            </w:pPr>
            <w:r>
              <w:rPr>
                <w:rFonts w:ascii="Arial" w:hAnsi="Arial"/>
                <w:sz w:val="19"/>
              </w:rPr>
              <w:t>1.000</w:t>
            </w:r>
          </w:p>
        </w:tc>
        <w:tc>
          <w:tcPr>
            <w:tcW w:type="dxa" w:w="1757"/>
            <w:vAlign w:val="center"/>
          </w:tcPr>
          <w:p>
            <w:pPr>
              <w:spacing w:after="80" w:before="80" w:line="252" w:lineRule="auto"/>
            </w:pPr>
            <w:r>
              <w:rPr>
                <w:rFonts w:ascii="Arial" w:hAnsi="Arial"/>
                <w:sz w:val="19"/>
              </w:rPr>
              <w:t>0.500</w:t>
            </w:r>
          </w:p>
        </w:tc>
      </w:tr>
      <w:tr>
        <w:trPr>
          <w:cantSplit/>
        </w:trPr>
        <w:tc>
          <w:tcPr>
            <w:tcW w:type="dxa" w:w="1757"/>
            <w:vAlign w:val="center"/>
          </w:tcPr>
          <w:p>
            <w:pPr>
              <w:spacing w:after="80" w:before="80" w:line="252" w:lineRule="auto"/>
            </w:pPr>
            <w:r>
              <w:rPr>
                <w:rFonts w:ascii="Arial" w:hAnsi="Arial"/>
                <w:sz w:val="19"/>
              </w:rPr>
              <w:t>25</w:t>
            </w:r>
          </w:p>
        </w:tc>
        <w:tc>
          <w:tcPr>
            <w:tcW w:type="dxa" w:w="1886"/>
            <w:vAlign w:val="center"/>
          </w:tcPr>
          <w:p>
            <w:pPr>
              <w:spacing w:after="80" w:before="80" w:line="252" w:lineRule="auto"/>
            </w:pPr>
            <w:r>
              <w:rPr>
                <w:rFonts w:ascii="Arial" w:hAnsi="Arial"/>
                <w:sz w:val="19"/>
              </w:rPr>
              <w:t>0.10</w:t>
            </w:r>
          </w:p>
        </w:tc>
        <w:tc>
          <w:tcPr>
            <w:tcW w:type="dxa" w:w="1339"/>
            <w:vAlign w:val="center"/>
          </w:tcPr>
          <w:p>
            <w:pPr>
              <w:spacing w:after="80" w:before="80" w:line="252" w:lineRule="auto"/>
            </w:pPr>
            <w:r>
              <w:rPr>
                <w:rFonts w:ascii="Arial" w:hAnsi="Arial"/>
                <w:sz w:val="19"/>
              </w:rPr>
              <w:t>0.879</w:t>
            </w:r>
          </w:p>
        </w:tc>
        <w:tc>
          <w:tcPr>
            <w:tcW w:type="dxa" w:w="1627"/>
            <w:vAlign w:val="center"/>
          </w:tcPr>
          <w:p>
            <w:pPr>
              <w:spacing w:after="80" w:before="80" w:line="252" w:lineRule="auto"/>
            </w:pPr>
            <w:r>
              <w:rPr>
                <w:rFonts w:ascii="Arial" w:hAnsi="Arial"/>
                <w:sz w:val="19"/>
              </w:rPr>
              <w:t>4.837</w:t>
            </w:r>
          </w:p>
        </w:tc>
        <w:tc>
          <w:tcPr>
            <w:tcW w:type="dxa" w:w="1339"/>
            <w:vAlign w:val="center"/>
          </w:tcPr>
          <w:p>
            <w:pPr>
              <w:spacing w:after="80" w:before="80" w:line="252" w:lineRule="auto"/>
            </w:pPr>
            <w:r>
              <w:rPr>
                <w:rFonts w:ascii="Arial" w:hAnsi="Arial"/>
                <w:sz w:val="19"/>
              </w:rPr>
              <w:t>1.885</w:t>
            </w:r>
          </w:p>
        </w:tc>
        <w:tc>
          <w:tcPr>
            <w:tcW w:type="dxa" w:w="1757"/>
            <w:vAlign w:val="center"/>
          </w:tcPr>
          <w:p>
            <w:pPr>
              <w:spacing w:after="80" w:before="80" w:line="252" w:lineRule="auto"/>
            </w:pPr>
            <w:r>
              <w:rPr>
                <w:rFonts w:ascii="Arial" w:hAnsi="Arial"/>
                <w:sz w:val="19"/>
              </w:rPr>
              <w:t>0.100</w:t>
            </w:r>
          </w:p>
        </w:tc>
      </w:tr>
      <w:tr>
        <w:trPr>
          <w:cantSplit/>
        </w:trPr>
        <w:tc>
          <w:tcPr>
            <w:tcW w:type="dxa" w:w="1757"/>
            <w:vAlign w:val="center"/>
          </w:tcPr>
          <w:p>
            <w:pPr>
              <w:spacing w:after="80" w:before="80" w:line="252" w:lineRule="auto"/>
            </w:pPr>
            <w:r>
              <w:rPr>
                <w:rFonts w:ascii="Arial" w:hAnsi="Arial"/>
                <w:sz w:val="19"/>
              </w:rPr>
              <w:t>25</w:t>
            </w:r>
          </w:p>
        </w:tc>
        <w:tc>
          <w:tcPr>
            <w:tcW w:type="dxa" w:w="1886"/>
            <w:vAlign w:val="center"/>
          </w:tcPr>
          <w:p>
            <w:pPr>
              <w:spacing w:after="80" w:before="80" w:line="252" w:lineRule="auto"/>
            </w:pPr>
            <w:r>
              <w:rPr>
                <w:rFonts w:ascii="Arial" w:hAnsi="Arial"/>
                <w:sz w:val="19"/>
              </w:rPr>
              <w:t>0.25</w:t>
            </w:r>
          </w:p>
        </w:tc>
        <w:tc>
          <w:tcPr>
            <w:tcW w:type="dxa" w:w="1339"/>
            <w:vAlign w:val="center"/>
          </w:tcPr>
          <w:p>
            <w:pPr>
              <w:spacing w:after="80" w:before="80" w:line="252" w:lineRule="auto"/>
            </w:pPr>
            <w:r>
              <w:rPr>
                <w:rFonts w:ascii="Arial" w:hAnsi="Arial"/>
                <w:sz w:val="19"/>
              </w:rPr>
              <w:t>0.986</w:t>
            </w:r>
          </w:p>
        </w:tc>
        <w:tc>
          <w:tcPr>
            <w:tcW w:type="dxa" w:w="1627"/>
            <w:vAlign w:val="center"/>
          </w:tcPr>
          <w:p>
            <w:pPr>
              <w:spacing w:after="80" w:before="80" w:line="252" w:lineRule="auto"/>
            </w:pPr>
            <w:r>
              <w:rPr>
                <w:rFonts w:ascii="Arial" w:hAnsi="Arial"/>
                <w:sz w:val="19"/>
              </w:rPr>
              <w:t>4.880</w:t>
            </w:r>
          </w:p>
        </w:tc>
        <w:tc>
          <w:tcPr>
            <w:tcW w:type="dxa" w:w="1339"/>
            <w:vAlign w:val="center"/>
          </w:tcPr>
          <w:p>
            <w:pPr>
              <w:spacing w:after="80" w:before="80" w:line="252" w:lineRule="auto"/>
            </w:pPr>
            <w:r>
              <w:rPr>
                <w:rFonts w:ascii="Arial" w:hAnsi="Arial"/>
                <w:sz w:val="19"/>
              </w:rPr>
              <w:t>1.938</w:t>
            </w:r>
          </w:p>
        </w:tc>
        <w:tc>
          <w:tcPr>
            <w:tcW w:type="dxa" w:w="1757"/>
            <w:vAlign w:val="center"/>
          </w:tcPr>
          <w:p>
            <w:pPr>
              <w:spacing w:after="80" w:before="80" w:line="252" w:lineRule="auto"/>
            </w:pPr>
            <w:r>
              <w:rPr>
                <w:rFonts w:ascii="Arial" w:hAnsi="Arial"/>
                <w:sz w:val="19"/>
              </w:rPr>
              <w:t>0.250</w:t>
            </w:r>
          </w:p>
        </w:tc>
      </w:tr>
      <w:tr>
        <w:trPr>
          <w:cantSplit/>
        </w:trPr>
        <w:tc>
          <w:tcPr>
            <w:tcW w:type="dxa" w:w="1757"/>
            <w:vAlign w:val="center"/>
          </w:tcPr>
          <w:p>
            <w:pPr>
              <w:spacing w:after="80" w:before="80" w:line="252" w:lineRule="auto"/>
            </w:pPr>
            <w:r>
              <w:rPr>
                <w:rFonts w:ascii="Arial" w:hAnsi="Arial"/>
                <w:sz w:val="19"/>
              </w:rPr>
              <w:t>25</w:t>
            </w:r>
          </w:p>
        </w:tc>
        <w:tc>
          <w:tcPr>
            <w:tcW w:type="dxa" w:w="1886"/>
            <w:vAlign w:val="center"/>
          </w:tcPr>
          <w:p>
            <w:pPr>
              <w:spacing w:after="80" w:before="80" w:line="252" w:lineRule="auto"/>
            </w:pPr>
            <w:r>
              <w:rPr>
                <w:rFonts w:ascii="Arial" w:hAnsi="Arial"/>
                <w:sz w:val="19"/>
              </w:rPr>
              <w:t>0.50</w:t>
            </w:r>
          </w:p>
        </w:tc>
        <w:tc>
          <w:tcPr>
            <w:tcW w:type="dxa" w:w="1339"/>
            <w:vAlign w:val="center"/>
          </w:tcPr>
          <w:p>
            <w:pPr>
              <w:spacing w:after="80" w:before="80" w:line="252" w:lineRule="auto"/>
            </w:pPr>
            <w:r>
              <w:rPr>
                <w:rFonts w:ascii="Arial" w:hAnsi="Arial"/>
                <w:sz w:val="19"/>
              </w:rPr>
              <w:t>1.164</w:t>
            </w:r>
          </w:p>
        </w:tc>
        <w:tc>
          <w:tcPr>
            <w:tcW w:type="dxa" w:w="1627"/>
            <w:vAlign w:val="center"/>
          </w:tcPr>
          <w:p>
            <w:pPr>
              <w:spacing w:after="80" w:before="80" w:line="252" w:lineRule="auto"/>
            </w:pPr>
            <w:r>
              <w:rPr>
                <w:rFonts w:ascii="Arial" w:hAnsi="Arial"/>
                <w:sz w:val="19"/>
              </w:rPr>
              <w:t>4.952</w:t>
            </w:r>
          </w:p>
        </w:tc>
        <w:tc>
          <w:tcPr>
            <w:tcW w:type="dxa" w:w="1339"/>
            <w:vAlign w:val="center"/>
          </w:tcPr>
          <w:p>
            <w:pPr>
              <w:spacing w:after="80" w:before="80" w:line="252" w:lineRule="auto"/>
            </w:pPr>
            <w:r>
              <w:rPr>
                <w:rFonts w:ascii="Arial" w:hAnsi="Arial"/>
                <w:sz w:val="19"/>
              </w:rPr>
              <w:t>2.027</w:t>
            </w:r>
          </w:p>
        </w:tc>
        <w:tc>
          <w:tcPr>
            <w:tcW w:type="dxa" w:w="1757"/>
            <w:vAlign w:val="center"/>
          </w:tcPr>
          <w:p>
            <w:pPr>
              <w:spacing w:after="80" w:before="80" w:line="252" w:lineRule="auto"/>
            </w:pPr>
            <w:r>
              <w:rPr>
                <w:rFonts w:ascii="Arial" w:hAnsi="Arial"/>
                <w:sz w:val="19"/>
              </w:rPr>
              <w:t>0.500</w:t>
            </w:r>
          </w:p>
        </w:tc>
      </w:tr>
    </w:tbl>
    <w:p>
      <w:pPr>
        <w:spacing w:after="20"/>
      </w:pPr>
    </w:p>
    <w:p>
      <w:r>
        <w:t>The original native and guarded policies are retained irrespective of which cost setting favors them. Model execution time and source acquisition costs are not assigned monetary values. Any ranking depends on both the encoded administrative target and the assumed quality and price of review.</w:t>
      </w:r>
    </w:p>
    <w:p>
      <w:pPr>
        <w:pStyle w:val="Heading2"/>
      </w:pPr>
      <w:r>
        <w:t>S5.7 Preserved source, input and runtime sensitivities</w:t>
      </w:r>
    </w:p>
    <w:p>
      <w:pPr>
        <w:keepNext/>
      </w:pPr>
      <w:r>
        <w:rPr>
          <w:b/>
        </w:rPr>
        <w:t>Table S5.6. Source-stratified binary evaluation on the compatible-code subset.</w:t>
      </w:r>
    </w:p>
    <w:tbl>
      <w:tblPr>
        <w:tblW w:type="auto" w:w="0"/>
        <w:jc w:val="center"/>
        <w:tblLayout w:type="fixed"/>
        <w:tblLook w:firstColumn="1" w:firstRow="1" w:lastColumn="0" w:lastRow="0" w:noHBand="0" w:noVBand="1" w:val="04A0"/>
        <w:tblBorders>
          <w:top w:val="single" w:sz="7" w:color="404040"/>
          <w:bottom w:val="single" w:sz="7" w:color="404040"/>
          <w:left w:val="nil" w:sz="0" w:color="404040"/>
          <w:right w:val="nil" w:sz="0" w:color="404040"/>
          <w:insideH w:val="nil" w:sz="0" w:color="404040"/>
          <w:insideV w:val="nil" w:sz="0" w:color="404040"/>
        </w:tblBorders>
        <w:tblLayout w:type="fixed"/>
      </w:tblPr>
      <w:tblGrid>
        <w:gridCol w:w="3110"/>
        <w:gridCol w:w="1008"/>
        <w:gridCol w:w="1008"/>
        <w:gridCol w:w="1008"/>
        <w:gridCol w:w="1512"/>
        <w:gridCol w:w="2088"/>
      </w:tblGrid>
      <w:tr>
        <w:trPr>
          <w:cantSplit/>
          <w:tblHeader/>
        </w:trPr>
        <w:tc>
          <w:tcPr>
            <w:tcW w:type="dxa" w:w="3110"/>
            <w:vAlign w:val="center"/>
            <w:tcBorders>
              <w:bottom w:val="single" w:sz="5" w:color="404040"/>
            </w:tcBorders>
          </w:tcPr>
          <w:p>
            <w:pPr>
              <w:keepNext/>
              <w:spacing w:after="80" w:before="80" w:line="252" w:lineRule="auto"/>
            </w:pPr>
            <w:r>
              <w:rPr>
                <w:rFonts w:ascii="Arial" w:hAnsi="Arial"/>
                <w:b/>
                <w:sz w:val="19"/>
              </w:rPr>
              <w:t>Model</w:t>
            </w:r>
          </w:p>
        </w:tc>
        <w:tc>
          <w:tcPr>
            <w:tcW w:type="dxa" w:w="1008"/>
            <w:vAlign w:val="center"/>
            <w:tcBorders>
              <w:bottom w:val="single" w:sz="5" w:color="404040"/>
            </w:tcBorders>
          </w:tcPr>
          <w:p>
            <w:pPr>
              <w:keepNext/>
              <w:spacing w:after="80" w:before="80" w:line="252" w:lineRule="auto"/>
            </w:pPr>
            <w:r>
              <w:rPr>
                <w:rFonts w:ascii="Arial" w:hAnsi="Arial"/>
                <w:b/>
                <w:sz w:val="19"/>
              </w:rPr>
              <w:t>Source</w:t>
            </w:r>
          </w:p>
        </w:tc>
        <w:tc>
          <w:tcPr>
            <w:tcW w:type="dxa" w:w="1008"/>
            <w:vAlign w:val="center"/>
            <w:tcBorders>
              <w:bottom w:val="single" w:sz="5" w:color="404040"/>
            </w:tcBorders>
          </w:tcPr>
          <w:p>
            <w:pPr>
              <w:keepNext/>
              <w:spacing w:after="80" w:before="80" w:line="252" w:lineRule="auto"/>
            </w:pPr>
            <w:r>
              <w:rPr>
                <w:rFonts w:ascii="Arial" w:hAnsi="Arial"/>
                <w:b/>
                <w:sz w:val="19"/>
              </w:rPr>
              <w:t>n</w:t>
            </w:r>
          </w:p>
        </w:tc>
        <w:tc>
          <w:tcPr>
            <w:tcW w:type="dxa" w:w="1008"/>
            <w:vAlign w:val="center"/>
            <w:tcBorders>
              <w:bottom w:val="single" w:sz="5" w:color="404040"/>
            </w:tcBorders>
          </w:tcPr>
          <w:p>
            <w:pPr>
              <w:keepNext/>
              <w:spacing w:after="80" w:before="80" w:line="252" w:lineRule="auto"/>
            </w:pPr>
            <w:r>
              <w:rPr>
                <w:rFonts w:ascii="Arial" w:hAnsi="Arial"/>
                <w:b/>
                <w:sz w:val="19"/>
              </w:rPr>
              <w:t>Groups</w:t>
            </w:r>
          </w:p>
        </w:tc>
        <w:tc>
          <w:tcPr>
            <w:tcW w:type="dxa" w:w="1512"/>
            <w:vAlign w:val="center"/>
            <w:tcBorders>
              <w:bottom w:val="single" w:sz="5" w:color="404040"/>
            </w:tcBorders>
          </w:tcPr>
          <w:p>
            <w:pPr>
              <w:keepNext/>
              <w:spacing w:after="80" w:before="80" w:line="252" w:lineRule="auto"/>
            </w:pPr>
            <w:r>
              <w:rPr>
                <w:rFonts w:ascii="Arial" w:hAnsi="Arial"/>
                <w:b/>
                <w:sz w:val="19"/>
              </w:rPr>
              <w:t>TN/FP/FN/TP</w:t>
            </w:r>
          </w:p>
        </w:tc>
        <w:tc>
          <w:tcPr>
            <w:tcW w:type="dxa" w:w="2088"/>
            <w:vAlign w:val="center"/>
            <w:tcBorders>
              <w:bottom w:val="single" w:sz="5" w:color="404040"/>
            </w:tcBorders>
          </w:tcPr>
          <w:p>
            <w:pPr>
              <w:keepNext/>
              <w:spacing w:after="80" w:before="80" w:line="252" w:lineRule="auto"/>
            </w:pPr>
            <w:r>
              <w:rPr>
                <w:rFonts w:ascii="Arial" w:hAnsi="Arial"/>
                <w:b/>
                <w:sz w:val="19"/>
              </w:rPr>
              <w:t>BA [95% CI] (%)</w:t>
            </w:r>
          </w:p>
        </w:tc>
      </w:tr>
      <w:tr>
        <w:trPr>
          <w:cantSplit/>
        </w:trPr>
        <w:tc>
          <w:tcPr>
            <w:tcW w:type="dxa" w:w="3110"/>
            <w:vAlign w:val="center"/>
          </w:tcPr>
          <w:p>
            <w:pPr>
              <w:spacing w:after="80" w:before="80" w:line="252" w:lineRule="auto"/>
            </w:pPr>
            <w:r>
              <w:rPr>
                <w:rFonts w:ascii="Arial" w:hAnsi="Arial"/>
                <w:sz w:val="19"/>
              </w:rPr>
              <w:t>Training-fold source majority</w:t>
            </w:r>
          </w:p>
        </w:tc>
        <w:tc>
          <w:tcPr>
            <w:tcW w:type="dxa" w:w="1008"/>
            <w:vAlign w:val="center"/>
          </w:tcPr>
          <w:p>
            <w:pPr>
              <w:spacing w:after="80" w:before="80" w:line="252" w:lineRule="auto"/>
            </w:pPr>
            <w:r>
              <w:rPr>
                <w:rFonts w:ascii="Arial" w:hAnsi="Arial"/>
                <w:sz w:val="19"/>
              </w:rPr>
              <w:t>HQ</w:t>
            </w:r>
          </w:p>
        </w:tc>
        <w:tc>
          <w:tcPr>
            <w:tcW w:type="dxa" w:w="1008"/>
            <w:vAlign w:val="center"/>
          </w:tcPr>
          <w:p>
            <w:pPr>
              <w:spacing w:after="80" w:before="80" w:line="252" w:lineRule="auto"/>
            </w:pPr>
            <w:r>
              <w:rPr>
                <w:rFonts w:ascii="Arial" w:hAnsi="Arial"/>
                <w:sz w:val="19"/>
              </w:rPr>
              <w:t>27</w:t>
            </w:r>
          </w:p>
        </w:tc>
        <w:tc>
          <w:tcPr>
            <w:tcW w:type="dxa" w:w="1008"/>
            <w:vAlign w:val="center"/>
          </w:tcPr>
          <w:p>
            <w:pPr>
              <w:spacing w:after="80" w:before="80" w:line="252" w:lineRule="auto"/>
            </w:pPr>
            <w:r>
              <w:rPr>
                <w:rFonts w:ascii="Arial" w:hAnsi="Arial"/>
                <w:sz w:val="19"/>
              </w:rPr>
              <w:t>21</w:t>
            </w:r>
          </w:p>
        </w:tc>
        <w:tc>
          <w:tcPr>
            <w:tcW w:type="dxa" w:w="1512"/>
            <w:vAlign w:val="center"/>
          </w:tcPr>
          <w:p>
            <w:pPr>
              <w:spacing w:after="80" w:before="80" w:line="252" w:lineRule="auto"/>
            </w:pPr>
            <w:r>
              <w:rPr>
                <w:rFonts w:ascii="Arial" w:hAnsi="Arial"/>
                <w:sz w:val="19"/>
              </w:rPr>
              <w:t>16/0/11/0</w:t>
            </w:r>
          </w:p>
        </w:tc>
        <w:tc>
          <w:tcPr>
            <w:tcW w:type="dxa" w:w="2088"/>
            <w:vAlign w:val="center"/>
          </w:tcPr>
          <w:p>
            <w:pPr>
              <w:spacing w:after="80" w:before="80" w:line="252" w:lineRule="auto"/>
            </w:pPr>
            <w:r>
              <w:rPr>
                <w:rFonts w:ascii="Arial" w:hAnsi="Arial"/>
                <w:sz w:val="19"/>
              </w:rPr>
              <w:t>50.0 [50.0, 50.0]</w:t>
            </w:r>
          </w:p>
        </w:tc>
      </w:tr>
      <w:tr>
        <w:trPr>
          <w:cantSplit/>
        </w:trPr>
        <w:tc>
          <w:tcPr>
            <w:tcW w:type="dxa" w:w="3110"/>
            <w:vAlign w:val="center"/>
          </w:tcPr>
          <w:p>
            <w:pPr>
              <w:spacing w:after="80" w:before="80" w:line="252" w:lineRule="auto"/>
            </w:pPr>
            <w:r>
              <w:rPr>
                <w:rFonts w:ascii="Arial" w:hAnsi="Arial"/>
                <w:sz w:val="19"/>
              </w:rPr>
              <w:t>Training-fold source majority</w:t>
            </w:r>
          </w:p>
        </w:tc>
        <w:tc>
          <w:tcPr>
            <w:tcW w:type="dxa" w:w="1008"/>
            <w:vAlign w:val="center"/>
          </w:tcPr>
          <w:p>
            <w:pPr>
              <w:spacing w:after="80" w:before="80" w:line="252" w:lineRule="auto"/>
            </w:pPr>
            <w:r>
              <w:rPr>
                <w:rFonts w:ascii="Arial" w:hAnsi="Arial"/>
                <w:sz w:val="19"/>
              </w:rPr>
              <w:t>NY</w:t>
            </w:r>
          </w:p>
        </w:tc>
        <w:tc>
          <w:tcPr>
            <w:tcW w:type="dxa" w:w="1008"/>
            <w:vAlign w:val="center"/>
          </w:tcPr>
          <w:p>
            <w:pPr>
              <w:spacing w:after="80" w:before="80" w:line="252" w:lineRule="auto"/>
            </w:pPr>
            <w:r>
              <w:rPr>
                <w:rFonts w:ascii="Arial" w:hAnsi="Arial"/>
                <w:sz w:val="19"/>
              </w:rPr>
              <w:t>46</w:t>
            </w:r>
          </w:p>
        </w:tc>
        <w:tc>
          <w:tcPr>
            <w:tcW w:type="dxa" w:w="1008"/>
            <w:vAlign w:val="center"/>
          </w:tcPr>
          <w:p>
            <w:pPr>
              <w:spacing w:after="80" w:before="80" w:line="252" w:lineRule="auto"/>
            </w:pPr>
            <w:r>
              <w:rPr>
                <w:rFonts w:ascii="Arial" w:hAnsi="Arial"/>
                <w:sz w:val="19"/>
              </w:rPr>
              <w:t>20</w:t>
            </w:r>
          </w:p>
        </w:tc>
        <w:tc>
          <w:tcPr>
            <w:tcW w:type="dxa" w:w="1512"/>
            <w:vAlign w:val="center"/>
          </w:tcPr>
          <w:p>
            <w:pPr>
              <w:spacing w:after="80" w:before="80" w:line="252" w:lineRule="auto"/>
            </w:pPr>
            <w:r>
              <w:rPr>
                <w:rFonts w:ascii="Arial" w:hAnsi="Arial"/>
                <w:sz w:val="19"/>
              </w:rPr>
              <w:t>0/10/0/36</w:t>
            </w:r>
          </w:p>
        </w:tc>
        <w:tc>
          <w:tcPr>
            <w:tcW w:type="dxa" w:w="2088"/>
            <w:vAlign w:val="center"/>
          </w:tcPr>
          <w:p>
            <w:pPr>
              <w:spacing w:after="80" w:before="80" w:line="252" w:lineRule="auto"/>
            </w:pPr>
            <w:r>
              <w:rPr>
                <w:rFonts w:ascii="Arial" w:hAnsi="Arial"/>
                <w:sz w:val="19"/>
              </w:rPr>
              <w:t>50.0 [50.0, 50.0]</w:t>
            </w:r>
          </w:p>
        </w:tc>
      </w:tr>
      <w:tr>
        <w:trPr>
          <w:cantSplit/>
        </w:trPr>
        <w:tc>
          <w:tcPr>
            <w:tcW w:type="dxa" w:w="3110"/>
            <w:vAlign w:val="center"/>
          </w:tcPr>
          <w:p>
            <w:pPr>
              <w:spacing w:after="80" w:before="80" w:line="252" w:lineRule="auto"/>
            </w:pPr>
            <w:r>
              <w:rPr>
                <w:rFonts w:ascii="Arial" w:hAnsi="Arial"/>
                <w:sz w:val="19"/>
              </w:rPr>
              <w:t>Qwen 4B (ABC)</w:t>
            </w:r>
          </w:p>
        </w:tc>
        <w:tc>
          <w:tcPr>
            <w:tcW w:type="dxa" w:w="1008"/>
            <w:vAlign w:val="center"/>
          </w:tcPr>
          <w:p>
            <w:pPr>
              <w:spacing w:after="80" w:before="80" w:line="252" w:lineRule="auto"/>
            </w:pPr>
            <w:r>
              <w:rPr>
                <w:rFonts w:ascii="Arial" w:hAnsi="Arial"/>
                <w:sz w:val="19"/>
              </w:rPr>
              <w:t>HQ</w:t>
            </w:r>
          </w:p>
        </w:tc>
        <w:tc>
          <w:tcPr>
            <w:tcW w:type="dxa" w:w="1008"/>
            <w:vAlign w:val="center"/>
          </w:tcPr>
          <w:p>
            <w:pPr>
              <w:spacing w:after="80" w:before="80" w:line="252" w:lineRule="auto"/>
            </w:pPr>
            <w:r>
              <w:rPr>
                <w:rFonts w:ascii="Arial" w:hAnsi="Arial"/>
                <w:sz w:val="19"/>
              </w:rPr>
              <w:t>27</w:t>
            </w:r>
          </w:p>
        </w:tc>
        <w:tc>
          <w:tcPr>
            <w:tcW w:type="dxa" w:w="1008"/>
            <w:vAlign w:val="center"/>
          </w:tcPr>
          <w:p>
            <w:pPr>
              <w:spacing w:after="80" w:before="80" w:line="252" w:lineRule="auto"/>
            </w:pPr>
            <w:r>
              <w:rPr>
                <w:rFonts w:ascii="Arial" w:hAnsi="Arial"/>
                <w:sz w:val="19"/>
              </w:rPr>
              <w:t>21</w:t>
            </w:r>
          </w:p>
        </w:tc>
        <w:tc>
          <w:tcPr>
            <w:tcW w:type="dxa" w:w="1512"/>
            <w:vAlign w:val="center"/>
          </w:tcPr>
          <w:p>
            <w:pPr>
              <w:spacing w:after="80" w:before="80" w:line="252" w:lineRule="auto"/>
            </w:pPr>
            <w:r>
              <w:rPr>
                <w:rFonts w:ascii="Arial" w:hAnsi="Arial"/>
                <w:sz w:val="19"/>
              </w:rPr>
              <w:t>10/6/3/8</w:t>
            </w:r>
          </w:p>
        </w:tc>
        <w:tc>
          <w:tcPr>
            <w:tcW w:type="dxa" w:w="2088"/>
            <w:vAlign w:val="center"/>
          </w:tcPr>
          <w:p>
            <w:pPr>
              <w:spacing w:after="80" w:before="80" w:line="252" w:lineRule="auto"/>
            </w:pPr>
            <w:r>
              <w:rPr>
                <w:rFonts w:ascii="Arial" w:hAnsi="Arial"/>
                <w:sz w:val="19"/>
              </w:rPr>
              <w:t>67.6 [48.1, 86.6]</w:t>
            </w:r>
          </w:p>
        </w:tc>
      </w:tr>
      <w:tr>
        <w:trPr>
          <w:cantSplit/>
        </w:trPr>
        <w:tc>
          <w:tcPr>
            <w:tcW w:type="dxa" w:w="3110"/>
            <w:vAlign w:val="center"/>
          </w:tcPr>
          <w:p>
            <w:pPr>
              <w:spacing w:after="80" w:before="80" w:line="252" w:lineRule="auto"/>
            </w:pPr>
            <w:r>
              <w:rPr>
                <w:rFonts w:ascii="Arial" w:hAnsi="Arial"/>
                <w:sz w:val="19"/>
              </w:rPr>
              <w:t>Qwen 4B (ABC)</w:t>
            </w:r>
          </w:p>
        </w:tc>
        <w:tc>
          <w:tcPr>
            <w:tcW w:type="dxa" w:w="1008"/>
            <w:vAlign w:val="center"/>
          </w:tcPr>
          <w:p>
            <w:pPr>
              <w:spacing w:after="80" w:before="80" w:line="252" w:lineRule="auto"/>
            </w:pPr>
            <w:r>
              <w:rPr>
                <w:rFonts w:ascii="Arial" w:hAnsi="Arial"/>
                <w:sz w:val="19"/>
              </w:rPr>
              <w:t>NY</w:t>
            </w:r>
          </w:p>
        </w:tc>
        <w:tc>
          <w:tcPr>
            <w:tcW w:type="dxa" w:w="1008"/>
            <w:vAlign w:val="center"/>
          </w:tcPr>
          <w:p>
            <w:pPr>
              <w:spacing w:after="80" w:before="80" w:line="252" w:lineRule="auto"/>
            </w:pPr>
            <w:r>
              <w:rPr>
                <w:rFonts w:ascii="Arial" w:hAnsi="Arial"/>
                <w:sz w:val="19"/>
              </w:rPr>
              <w:t>46</w:t>
            </w:r>
          </w:p>
        </w:tc>
        <w:tc>
          <w:tcPr>
            <w:tcW w:type="dxa" w:w="1008"/>
            <w:vAlign w:val="center"/>
          </w:tcPr>
          <w:p>
            <w:pPr>
              <w:spacing w:after="80" w:before="80" w:line="252" w:lineRule="auto"/>
            </w:pPr>
            <w:r>
              <w:rPr>
                <w:rFonts w:ascii="Arial" w:hAnsi="Arial"/>
                <w:sz w:val="19"/>
              </w:rPr>
              <w:t>20</w:t>
            </w:r>
          </w:p>
        </w:tc>
        <w:tc>
          <w:tcPr>
            <w:tcW w:type="dxa" w:w="1512"/>
            <w:vAlign w:val="center"/>
          </w:tcPr>
          <w:p>
            <w:pPr>
              <w:spacing w:after="80" w:before="80" w:line="252" w:lineRule="auto"/>
            </w:pPr>
            <w:r>
              <w:rPr>
                <w:rFonts w:ascii="Arial" w:hAnsi="Arial"/>
                <w:sz w:val="19"/>
              </w:rPr>
              <w:t>6/4/13/23</w:t>
            </w:r>
          </w:p>
        </w:tc>
        <w:tc>
          <w:tcPr>
            <w:tcW w:type="dxa" w:w="2088"/>
            <w:vAlign w:val="center"/>
          </w:tcPr>
          <w:p>
            <w:pPr>
              <w:spacing w:after="80" w:before="80" w:line="252" w:lineRule="auto"/>
            </w:pPr>
            <w:r>
              <w:rPr>
                <w:rFonts w:ascii="Arial" w:hAnsi="Arial"/>
                <w:sz w:val="19"/>
              </w:rPr>
              <w:t>61.9 [34.8, 77.8]</w:t>
            </w:r>
          </w:p>
        </w:tc>
      </w:tr>
      <w:tr>
        <w:trPr>
          <w:cantSplit/>
        </w:trPr>
        <w:tc>
          <w:tcPr>
            <w:tcW w:type="dxa" w:w="3110"/>
            <w:vAlign w:val="center"/>
          </w:tcPr>
          <w:p>
            <w:pPr>
              <w:spacing w:after="80" w:before="80" w:line="252" w:lineRule="auto"/>
            </w:pPr>
            <w:r>
              <w:rPr>
                <w:rFonts w:ascii="Arial" w:hAnsi="Arial"/>
                <w:sz w:val="19"/>
              </w:rPr>
              <w:t>Qwen 14B (ABC)</w:t>
            </w:r>
          </w:p>
        </w:tc>
        <w:tc>
          <w:tcPr>
            <w:tcW w:type="dxa" w:w="1008"/>
            <w:vAlign w:val="center"/>
          </w:tcPr>
          <w:p>
            <w:pPr>
              <w:spacing w:after="80" w:before="80" w:line="252" w:lineRule="auto"/>
            </w:pPr>
            <w:r>
              <w:rPr>
                <w:rFonts w:ascii="Arial" w:hAnsi="Arial"/>
                <w:sz w:val="19"/>
              </w:rPr>
              <w:t>HQ</w:t>
            </w:r>
          </w:p>
        </w:tc>
        <w:tc>
          <w:tcPr>
            <w:tcW w:type="dxa" w:w="1008"/>
            <w:vAlign w:val="center"/>
          </w:tcPr>
          <w:p>
            <w:pPr>
              <w:spacing w:after="80" w:before="80" w:line="252" w:lineRule="auto"/>
            </w:pPr>
            <w:r>
              <w:rPr>
                <w:rFonts w:ascii="Arial" w:hAnsi="Arial"/>
                <w:sz w:val="19"/>
              </w:rPr>
              <w:t>27</w:t>
            </w:r>
          </w:p>
        </w:tc>
        <w:tc>
          <w:tcPr>
            <w:tcW w:type="dxa" w:w="1008"/>
            <w:vAlign w:val="center"/>
          </w:tcPr>
          <w:p>
            <w:pPr>
              <w:spacing w:after="80" w:before="80" w:line="252" w:lineRule="auto"/>
            </w:pPr>
            <w:r>
              <w:rPr>
                <w:rFonts w:ascii="Arial" w:hAnsi="Arial"/>
                <w:sz w:val="19"/>
              </w:rPr>
              <w:t>21</w:t>
            </w:r>
          </w:p>
        </w:tc>
        <w:tc>
          <w:tcPr>
            <w:tcW w:type="dxa" w:w="1512"/>
            <w:vAlign w:val="center"/>
          </w:tcPr>
          <w:p>
            <w:pPr>
              <w:spacing w:after="80" w:before="80" w:line="252" w:lineRule="auto"/>
            </w:pPr>
            <w:r>
              <w:rPr>
                <w:rFonts w:ascii="Arial" w:hAnsi="Arial"/>
                <w:sz w:val="19"/>
              </w:rPr>
              <w:t>8/8/1/10</w:t>
            </w:r>
          </w:p>
        </w:tc>
        <w:tc>
          <w:tcPr>
            <w:tcW w:type="dxa" w:w="2088"/>
            <w:vAlign w:val="center"/>
          </w:tcPr>
          <w:p>
            <w:pPr>
              <w:spacing w:after="80" w:before="80" w:line="252" w:lineRule="auto"/>
            </w:pPr>
            <w:r>
              <w:rPr>
                <w:rFonts w:ascii="Arial" w:hAnsi="Arial"/>
                <w:sz w:val="19"/>
              </w:rPr>
              <w:t>70.5 [57.2, 84.6]</w:t>
            </w:r>
          </w:p>
        </w:tc>
      </w:tr>
      <w:tr>
        <w:trPr>
          <w:cantSplit/>
        </w:trPr>
        <w:tc>
          <w:tcPr>
            <w:tcW w:type="dxa" w:w="3110"/>
            <w:vAlign w:val="center"/>
          </w:tcPr>
          <w:p>
            <w:pPr>
              <w:spacing w:after="80" w:before="80" w:line="252" w:lineRule="auto"/>
            </w:pPr>
            <w:r>
              <w:rPr>
                <w:rFonts w:ascii="Arial" w:hAnsi="Arial"/>
                <w:sz w:val="19"/>
              </w:rPr>
              <w:t>Qwen 14B (ABC)</w:t>
            </w:r>
          </w:p>
        </w:tc>
        <w:tc>
          <w:tcPr>
            <w:tcW w:type="dxa" w:w="1008"/>
            <w:vAlign w:val="center"/>
          </w:tcPr>
          <w:p>
            <w:pPr>
              <w:spacing w:after="80" w:before="80" w:line="252" w:lineRule="auto"/>
            </w:pPr>
            <w:r>
              <w:rPr>
                <w:rFonts w:ascii="Arial" w:hAnsi="Arial"/>
                <w:sz w:val="19"/>
              </w:rPr>
              <w:t>NY</w:t>
            </w:r>
          </w:p>
        </w:tc>
        <w:tc>
          <w:tcPr>
            <w:tcW w:type="dxa" w:w="1008"/>
            <w:vAlign w:val="center"/>
          </w:tcPr>
          <w:p>
            <w:pPr>
              <w:spacing w:after="80" w:before="80" w:line="252" w:lineRule="auto"/>
            </w:pPr>
            <w:r>
              <w:rPr>
                <w:rFonts w:ascii="Arial" w:hAnsi="Arial"/>
                <w:sz w:val="19"/>
              </w:rPr>
              <w:t>46</w:t>
            </w:r>
          </w:p>
        </w:tc>
        <w:tc>
          <w:tcPr>
            <w:tcW w:type="dxa" w:w="1008"/>
            <w:vAlign w:val="center"/>
          </w:tcPr>
          <w:p>
            <w:pPr>
              <w:spacing w:after="80" w:before="80" w:line="252" w:lineRule="auto"/>
            </w:pPr>
            <w:r>
              <w:rPr>
                <w:rFonts w:ascii="Arial" w:hAnsi="Arial"/>
                <w:sz w:val="19"/>
              </w:rPr>
              <w:t>20</w:t>
            </w:r>
          </w:p>
        </w:tc>
        <w:tc>
          <w:tcPr>
            <w:tcW w:type="dxa" w:w="1512"/>
            <w:vAlign w:val="center"/>
          </w:tcPr>
          <w:p>
            <w:pPr>
              <w:spacing w:after="80" w:before="80" w:line="252" w:lineRule="auto"/>
            </w:pPr>
            <w:r>
              <w:rPr>
                <w:rFonts w:ascii="Arial" w:hAnsi="Arial"/>
                <w:sz w:val="19"/>
              </w:rPr>
              <w:t>4/6/8/28</w:t>
            </w:r>
          </w:p>
        </w:tc>
        <w:tc>
          <w:tcPr>
            <w:tcW w:type="dxa" w:w="2088"/>
            <w:vAlign w:val="center"/>
          </w:tcPr>
          <w:p>
            <w:pPr>
              <w:spacing w:after="80" w:before="80" w:line="252" w:lineRule="auto"/>
            </w:pPr>
            <w:r>
              <w:rPr>
                <w:rFonts w:ascii="Arial" w:hAnsi="Arial"/>
                <w:sz w:val="19"/>
              </w:rPr>
              <w:t>58.9 [43.2, 85.3]</w:t>
            </w:r>
          </w:p>
        </w:tc>
      </w:tr>
      <w:tr>
        <w:trPr>
          <w:cantSplit/>
        </w:trPr>
        <w:tc>
          <w:tcPr>
            <w:tcW w:type="dxa" w:w="3110"/>
            <w:vAlign w:val="center"/>
          </w:tcPr>
          <w:p>
            <w:pPr>
              <w:spacing w:after="80" w:before="80" w:line="252" w:lineRule="auto"/>
            </w:pPr>
            <w:r>
              <w:rPr>
                <w:rFonts w:ascii="Arial" w:hAnsi="Arial"/>
                <w:sz w:val="19"/>
              </w:rPr>
              <w:t>Granite 8B (ABC)</w:t>
            </w:r>
          </w:p>
        </w:tc>
        <w:tc>
          <w:tcPr>
            <w:tcW w:type="dxa" w:w="1008"/>
            <w:vAlign w:val="center"/>
          </w:tcPr>
          <w:p>
            <w:pPr>
              <w:spacing w:after="80" w:before="80" w:line="252" w:lineRule="auto"/>
            </w:pPr>
            <w:r>
              <w:rPr>
                <w:rFonts w:ascii="Arial" w:hAnsi="Arial"/>
                <w:sz w:val="19"/>
              </w:rPr>
              <w:t>HQ</w:t>
            </w:r>
          </w:p>
        </w:tc>
        <w:tc>
          <w:tcPr>
            <w:tcW w:type="dxa" w:w="1008"/>
            <w:vAlign w:val="center"/>
          </w:tcPr>
          <w:p>
            <w:pPr>
              <w:spacing w:after="80" w:before="80" w:line="252" w:lineRule="auto"/>
            </w:pPr>
            <w:r>
              <w:rPr>
                <w:rFonts w:ascii="Arial" w:hAnsi="Arial"/>
                <w:sz w:val="19"/>
              </w:rPr>
              <w:t>27</w:t>
            </w:r>
          </w:p>
        </w:tc>
        <w:tc>
          <w:tcPr>
            <w:tcW w:type="dxa" w:w="1008"/>
            <w:vAlign w:val="center"/>
          </w:tcPr>
          <w:p>
            <w:pPr>
              <w:spacing w:after="80" w:before="80" w:line="252" w:lineRule="auto"/>
            </w:pPr>
            <w:r>
              <w:rPr>
                <w:rFonts w:ascii="Arial" w:hAnsi="Arial"/>
                <w:sz w:val="19"/>
              </w:rPr>
              <w:t>21</w:t>
            </w:r>
          </w:p>
        </w:tc>
        <w:tc>
          <w:tcPr>
            <w:tcW w:type="dxa" w:w="1512"/>
            <w:vAlign w:val="center"/>
          </w:tcPr>
          <w:p>
            <w:pPr>
              <w:spacing w:after="80" w:before="80" w:line="252" w:lineRule="auto"/>
            </w:pPr>
            <w:r>
              <w:rPr>
                <w:rFonts w:ascii="Arial" w:hAnsi="Arial"/>
                <w:sz w:val="19"/>
              </w:rPr>
              <w:t>15/1/3/8</w:t>
            </w:r>
          </w:p>
        </w:tc>
        <w:tc>
          <w:tcPr>
            <w:tcW w:type="dxa" w:w="2088"/>
            <w:vAlign w:val="center"/>
          </w:tcPr>
          <w:p>
            <w:pPr>
              <w:spacing w:after="80" w:before="80" w:line="252" w:lineRule="auto"/>
            </w:pPr>
            <w:r>
              <w:rPr>
                <w:rFonts w:ascii="Arial" w:hAnsi="Arial"/>
                <w:sz w:val="19"/>
              </w:rPr>
              <w:t>83.2 [68.3, 96.7]</w:t>
            </w:r>
          </w:p>
        </w:tc>
      </w:tr>
      <w:tr>
        <w:trPr>
          <w:cantSplit/>
        </w:trPr>
        <w:tc>
          <w:tcPr>
            <w:tcW w:type="dxa" w:w="3110"/>
            <w:vAlign w:val="center"/>
          </w:tcPr>
          <w:p>
            <w:pPr>
              <w:spacing w:after="80" w:before="80" w:line="252" w:lineRule="auto"/>
            </w:pPr>
            <w:r>
              <w:rPr>
                <w:rFonts w:ascii="Arial" w:hAnsi="Arial"/>
                <w:sz w:val="19"/>
              </w:rPr>
              <w:t>Granite 8B (ABC)</w:t>
            </w:r>
          </w:p>
        </w:tc>
        <w:tc>
          <w:tcPr>
            <w:tcW w:type="dxa" w:w="1008"/>
            <w:vAlign w:val="center"/>
          </w:tcPr>
          <w:p>
            <w:pPr>
              <w:spacing w:after="80" w:before="80" w:line="252" w:lineRule="auto"/>
            </w:pPr>
            <w:r>
              <w:rPr>
                <w:rFonts w:ascii="Arial" w:hAnsi="Arial"/>
                <w:sz w:val="19"/>
              </w:rPr>
              <w:t>NY</w:t>
            </w:r>
          </w:p>
        </w:tc>
        <w:tc>
          <w:tcPr>
            <w:tcW w:type="dxa" w:w="1008"/>
            <w:vAlign w:val="center"/>
          </w:tcPr>
          <w:p>
            <w:pPr>
              <w:spacing w:after="80" w:before="80" w:line="252" w:lineRule="auto"/>
            </w:pPr>
            <w:r>
              <w:rPr>
                <w:rFonts w:ascii="Arial" w:hAnsi="Arial"/>
                <w:sz w:val="19"/>
              </w:rPr>
              <w:t>46</w:t>
            </w:r>
          </w:p>
        </w:tc>
        <w:tc>
          <w:tcPr>
            <w:tcW w:type="dxa" w:w="1008"/>
            <w:vAlign w:val="center"/>
          </w:tcPr>
          <w:p>
            <w:pPr>
              <w:spacing w:after="80" w:before="80" w:line="252" w:lineRule="auto"/>
            </w:pPr>
            <w:r>
              <w:rPr>
                <w:rFonts w:ascii="Arial" w:hAnsi="Arial"/>
                <w:sz w:val="19"/>
              </w:rPr>
              <w:t>20</w:t>
            </w:r>
          </w:p>
        </w:tc>
        <w:tc>
          <w:tcPr>
            <w:tcW w:type="dxa" w:w="1512"/>
            <w:vAlign w:val="center"/>
          </w:tcPr>
          <w:p>
            <w:pPr>
              <w:spacing w:after="80" w:before="80" w:line="252" w:lineRule="auto"/>
            </w:pPr>
            <w:r>
              <w:rPr>
                <w:rFonts w:ascii="Arial" w:hAnsi="Arial"/>
                <w:sz w:val="19"/>
              </w:rPr>
              <w:t>9/1/20/16</w:t>
            </w:r>
          </w:p>
        </w:tc>
        <w:tc>
          <w:tcPr>
            <w:tcW w:type="dxa" w:w="2088"/>
            <w:vAlign w:val="center"/>
          </w:tcPr>
          <w:p>
            <w:pPr>
              <w:spacing w:after="80" w:before="80" w:line="252" w:lineRule="auto"/>
            </w:pPr>
            <w:r>
              <w:rPr>
                <w:rFonts w:ascii="Arial" w:hAnsi="Arial"/>
                <w:sz w:val="19"/>
              </w:rPr>
              <w:t>67.2 [41.1, 80.6]</w:t>
            </w:r>
          </w:p>
        </w:tc>
      </w:tr>
    </w:tbl>
    <w:p>
      <w:pPr>
        <w:spacing w:after="20"/>
      </w:pPr>
    </w:p>
    <w:p>
      <w:r>
        <w:t>The primary HQ subset contains 27 cases (11 eligible, 16 ineligible) and 21 groups; NY contains 46 cases (36 eligible, 10 ineligible) and 20 groups. These are source-stratified evaluations of the fixed predictions, not separate training runs. The 60-case sensitivity keeps all 46 NY cases but only 14 HQ cases, changing source composition. The primary NY bootstrap has 1,999 valid binary BA draws; the 60-case HQ bootstrap has 1,937. Other supported binary BA draws are reported with the machine-readable results.</w:t>
      </w:r>
    </w:p>
    <w:p>
      <w:pPr>
        <w:keepNext/>
      </w:pPr>
      <w:r>
        <w:rPr>
          <w:b/>
        </w:rPr>
        <w:t>Table S5.7. Paired binary balanced-accuracy contrasts.</w:t>
      </w:r>
    </w:p>
    <w:tbl>
      <w:tblPr>
        <w:tblW w:type="auto" w:w="0"/>
        <w:jc w:val="center"/>
        <w:tblLayout w:type="fixed"/>
        <w:tblLook w:firstColumn="1" w:firstRow="1" w:lastColumn="0" w:lastRow="0" w:noHBand="0" w:noVBand="1" w:val="04A0"/>
        <w:tblBorders>
          <w:top w:val="single" w:sz="7" w:color="404040"/>
          <w:bottom w:val="single" w:sz="7" w:color="404040"/>
          <w:left w:val="nil" w:sz="0" w:color="404040"/>
          <w:right w:val="nil" w:sz="0" w:color="404040"/>
          <w:insideH w:val="nil" w:sz="0" w:color="404040"/>
          <w:insideV w:val="nil" w:sz="0" w:color="404040"/>
        </w:tblBorders>
        <w:tblLayout w:type="fixed"/>
      </w:tblPr>
      <w:tblGrid>
        <w:gridCol w:w="4507"/>
        <w:gridCol w:w="2606"/>
        <w:gridCol w:w="2606"/>
      </w:tblGrid>
      <w:tr>
        <w:trPr>
          <w:cantSplit/>
          <w:tblHeader/>
        </w:trPr>
        <w:tc>
          <w:tcPr>
            <w:tcW w:type="dxa" w:w="4507"/>
            <w:vAlign w:val="center"/>
            <w:tcBorders>
              <w:bottom w:val="single" w:sz="5" w:color="404040"/>
            </w:tcBorders>
          </w:tcPr>
          <w:p>
            <w:pPr>
              <w:keepNext/>
              <w:spacing w:after="80" w:before="80" w:line="252" w:lineRule="auto"/>
            </w:pPr>
            <w:r>
              <w:rPr>
                <w:rFonts w:ascii="Arial" w:hAnsi="Arial"/>
                <w:b/>
                <w:sz w:val="19"/>
              </w:rPr>
              <w:t>Paired contrast</w:t>
            </w:r>
          </w:p>
        </w:tc>
        <w:tc>
          <w:tcPr>
            <w:tcW w:type="dxa" w:w="2606"/>
            <w:vAlign w:val="center"/>
            <w:tcBorders>
              <w:bottom w:val="single" w:sz="5" w:color="404040"/>
            </w:tcBorders>
          </w:tcPr>
          <w:p>
            <w:pPr>
              <w:keepNext/>
              <w:spacing w:after="80" w:before="80" w:line="252" w:lineRule="auto"/>
            </w:pPr>
            <w:r>
              <w:rPr>
                <w:rFonts w:ascii="Arial" w:hAnsi="Arial"/>
                <w:b/>
                <w:sz w:val="19"/>
              </w:rPr>
              <w:t>73 delta BA [95% CI] (pp)</w:t>
            </w:r>
          </w:p>
        </w:tc>
        <w:tc>
          <w:tcPr>
            <w:tcW w:type="dxa" w:w="2606"/>
            <w:vAlign w:val="center"/>
            <w:tcBorders>
              <w:bottom w:val="single" w:sz="5" w:color="404040"/>
            </w:tcBorders>
          </w:tcPr>
          <w:p>
            <w:pPr>
              <w:keepNext/>
              <w:spacing w:after="80" w:before="80" w:line="252" w:lineRule="auto"/>
            </w:pPr>
            <w:r>
              <w:rPr>
                <w:rFonts w:ascii="Arial" w:hAnsi="Arial"/>
                <w:b/>
                <w:sz w:val="19"/>
              </w:rPr>
              <w:t>60 delta BA [95% CI] (pp)</w:t>
            </w:r>
          </w:p>
        </w:tc>
      </w:tr>
      <w:tr>
        <w:trPr>
          <w:cantSplit/>
        </w:trPr>
        <w:tc>
          <w:tcPr>
            <w:tcW w:type="dxa" w:w="4507"/>
            <w:vAlign w:val="center"/>
          </w:tcPr>
          <w:p>
            <w:pPr>
              <w:spacing w:after="80" w:before="80" w:line="252" w:lineRule="auto"/>
            </w:pPr>
            <w:r>
              <w:rPr>
                <w:rFonts w:ascii="Arial" w:hAnsi="Arial"/>
                <w:sz w:val="19"/>
              </w:rPr>
              <w:t>Qwen 4B (ABC) minus Training-fold source majority</w:t>
            </w:r>
          </w:p>
        </w:tc>
        <w:tc>
          <w:tcPr>
            <w:tcW w:type="dxa" w:w="2606"/>
            <w:vAlign w:val="center"/>
          </w:tcPr>
          <w:p>
            <w:pPr>
              <w:spacing w:after="80" w:before="80" w:line="252" w:lineRule="auto"/>
            </w:pPr>
            <w:r>
              <w:rPr>
                <w:rFonts w:ascii="Arial" w:hAnsi="Arial"/>
                <w:sz w:val="19"/>
              </w:rPr>
              <w:t>-5.3 [-24.5, 11.5]</w:t>
            </w:r>
          </w:p>
        </w:tc>
        <w:tc>
          <w:tcPr>
            <w:tcW w:type="dxa" w:w="2606"/>
            <w:vAlign w:val="center"/>
          </w:tcPr>
          <w:p>
            <w:pPr>
              <w:spacing w:after="80" w:before="80" w:line="252" w:lineRule="auto"/>
            </w:pPr>
            <w:r>
              <w:rPr>
                <w:rFonts w:ascii="Arial" w:hAnsi="Arial"/>
                <w:sz w:val="19"/>
              </w:rPr>
              <w:t>11.1 [-8.2, 29.6]</w:t>
            </w:r>
          </w:p>
        </w:tc>
      </w:tr>
      <w:tr>
        <w:trPr>
          <w:cantSplit/>
        </w:trPr>
        <w:tc>
          <w:tcPr>
            <w:tcW w:type="dxa" w:w="4507"/>
            <w:vAlign w:val="center"/>
          </w:tcPr>
          <w:p>
            <w:pPr>
              <w:spacing w:after="80" w:before="80" w:line="252" w:lineRule="auto"/>
            </w:pPr>
            <w:r>
              <w:rPr>
                <w:rFonts w:ascii="Arial" w:hAnsi="Arial"/>
                <w:sz w:val="19"/>
              </w:rPr>
              <w:t>Qwen 14B (ABC) minus Training-fold source majority</w:t>
            </w:r>
          </w:p>
        </w:tc>
        <w:tc>
          <w:tcPr>
            <w:tcW w:type="dxa" w:w="2606"/>
            <w:vAlign w:val="center"/>
          </w:tcPr>
          <w:p>
            <w:pPr>
              <w:spacing w:after="80" w:before="80" w:line="252" w:lineRule="auto"/>
            </w:pPr>
            <w:r>
              <w:rPr>
                <w:rFonts w:ascii="Arial" w:hAnsi="Arial"/>
                <w:sz w:val="19"/>
              </w:rPr>
              <w:t>-5.6 [-22.9, 11.1]</w:t>
            </w:r>
          </w:p>
        </w:tc>
        <w:tc>
          <w:tcPr>
            <w:tcW w:type="dxa" w:w="2606"/>
            <w:vAlign w:val="center"/>
          </w:tcPr>
          <w:p>
            <w:pPr>
              <w:spacing w:after="80" w:before="80" w:line="252" w:lineRule="auto"/>
            </w:pPr>
            <w:r>
              <w:rPr>
                <w:rFonts w:ascii="Arial" w:hAnsi="Arial"/>
                <w:sz w:val="19"/>
              </w:rPr>
              <w:t>3.3 [-17.7, 28.3]</w:t>
            </w:r>
          </w:p>
        </w:tc>
      </w:tr>
      <w:tr>
        <w:trPr>
          <w:cantSplit/>
        </w:trPr>
        <w:tc>
          <w:tcPr>
            <w:tcW w:type="dxa" w:w="4507"/>
            <w:vAlign w:val="center"/>
          </w:tcPr>
          <w:p>
            <w:pPr>
              <w:spacing w:after="80" w:before="80" w:line="252" w:lineRule="auto"/>
            </w:pPr>
            <w:r>
              <w:rPr>
                <w:rFonts w:ascii="Arial" w:hAnsi="Arial"/>
                <w:sz w:val="19"/>
              </w:rPr>
              <w:t>Granite 8B (ABC) minus Training-fold source majority</w:t>
            </w:r>
          </w:p>
        </w:tc>
        <w:tc>
          <w:tcPr>
            <w:tcW w:type="dxa" w:w="2606"/>
            <w:vAlign w:val="center"/>
          </w:tcPr>
          <w:p>
            <w:pPr>
              <w:spacing w:after="80" w:before="80" w:line="252" w:lineRule="auto"/>
            </w:pPr>
            <w:r>
              <w:rPr>
                <w:rFonts w:ascii="Arial" w:hAnsi="Arial"/>
                <w:sz w:val="19"/>
              </w:rPr>
              <w:t>2.6 [-18.4, 19.4]</w:t>
            </w:r>
          </w:p>
        </w:tc>
        <w:tc>
          <w:tcPr>
            <w:tcW w:type="dxa" w:w="2606"/>
            <w:vAlign w:val="center"/>
          </w:tcPr>
          <w:p>
            <w:pPr>
              <w:spacing w:after="80" w:before="80" w:line="252" w:lineRule="auto"/>
            </w:pPr>
            <w:r>
              <w:rPr>
                <w:rFonts w:ascii="Arial" w:hAnsi="Arial"/>
                <w:sz w:val="19"/>
              </w:rPr>
              <w:t>15.6 [-7.1, 35.6]</w:t>
            </w:r>
          </w:p>
        </w:tc>
      </w:tr>
      <w:tr>
        <w:trPr>
          <w:cantSplit/>
        </w:trPr>
        <w:tc>
          <w:tcPr>
            <w:tcW w:type="dxa" w:w="4507"/>
            <w:vAlign w:val="center"/>
          </w:tcPr>
          <w:p>
            <w:pPr>
              <w:spacing w:after="80" w:before="80" w:line="252" w:lineRule="auto"/>
            </w:pPr>
            <w:r>
              <w:rPr>
                <w:rFonts w:ascii="Arial" w:hAnsi="Arial"/>
                <w:sz w:val="19"/>
              </w:rPr>
              <w:t>Qwen 14B (ABC) minus Qwen 4B (ABC)</w:t>
            </w:r>
          </w:p>
        </w:tc>
        <w:tc>
          <w:tcPr>
            <w:tcW w:type="dxa" w:w="2606"/>
            <w:vAlign w:val="center"/>
          </w:tcPr>
          <w:p>
            <w:pPr>
              <w:spacing w:after="80" w:before="80" w:line="252" w:lineRule="auto"/>
            </w:pPr>
            <w:r>
              <w:rPr>
                <w:rFonts w:ascii="Arial" w:hAnsi="Arial"/>
                <w:sz w:val="19"/>
              </w:rPr>
              <w:t>-0.2 [-15.2, 14.7]</w:t>
            </w:r>
          </w:p>
        </w:tc>
        <w:tc>
          <w:tcPr>
            <w:tcW w:type="dxa" w:w="2606"/>
            <w:vAlign w:val="center"/>
          </w:tcPr>
          <w:p>
            <w:pPr>
              <w:spacing w:after="80" w:before="80" w:line="252" w:lineRule="auto"/>
            </w:pPr>
            <w:r>
              <w:rPr>
                <w:rFonts w:ascii="Arial" w:hAnsi="Arial"/>
                <w:sz w:val="19"/>
              </w:rPr>
              <w:t>-7.8 [-22.4, 13.8]</w:t>
            </w:r>
          </w:p>
        </w:tc>
      </w:tr>
      <w:tr>
        <w:trPr>
          <w:cantSplit/>
        </w:trPr>
        <w:tc>
          <w:tcPr>
            <w:tcW w:type="dxa" w:w="4507"/>
            <w:vAlign w:val="center"/>
          </w:tcPr>
          <w:p>
            <w:pPr>
              <w:spacing w:after="80" w:before="80" w:line="252" w:lineRule="auto"/>
            </w:pPr>
            <w:r>
              <w:rPr>
                <w:rFonts w:ascii="Arial" w:hAnsi="Arial"/>
                <w:sz w:val="19"/>
              </w:rPr>
              <w:t>Granite 8B (ABC) minus Qwen 4B (ABC)</w:t>
            </w:r>
          </w:p>
        </w:tc>
        <w:tc>
          <w:tcPr>
            <w:tcW w:type="dxa" w:w="2606"/>
            <w:vAlign w:val="center"/>
          </w:tcPr>
          <w:p>
            <w:pPr>
              <w:spacing w:after="80" w:before="80" w:line="252" w:lineRule="auto"/>
            </w:pPr>
            <w:r>
              <w:rPr>
                <w:rFonts w:ascii="Arial" w:hAnsi="Arial"/>
                <w:sz w:val="19"/>
              </w:rPr>
              <w:t>7.9 [-6.5, 20.5]</w:t>
            </w:r>
          </w:p>
        </w:tc>
        <w:tc>
          <w:tcPr>
            <w:tcW w:type="dxa" w:w="2606"/>
            <w:vAlign w:val="center"/>
          </w:tcPr>
          <w:p>
            <w:pPr>
              <w:spacing w:after="80" w:before="80" w:line="252" w:lineRule="auto"/>
            </w:pPr>
            <w:r>
              <w:rPr>
                <w:rFonts w:ascii="Arial" w:hAnsi="Arial"/>
                <w:sz w:val="19"/>
              </w:rPr>
              <w:t>4.4 [-11.8, 17.4]</w:t>
            </w:r>
          </w:p>
        </w:tc>
      </w:tr>
      <w:tr>
        <w:trPr>
          <w:cantSplit/>
        </w:trPr>
        <w:tc>
          <w:tcPr>
            <w:tcW w:type="dxa" w:w="4507"/>
            <w:vAlign w:val="center"/>
          </w:tcPr>
          <w:p>
            <w:pPr>
              <w:spacing w:after="80" w:before="80" w:line="252" w:lineRule="auto"/>
            </w:pPr>
            <w:r>
              <w:rPr>
                <w:rFonts w:ascii="Arial" w:hAnsi="Arial"/>
                <w:sz w:val="19"/>
              </w:rPr>
              <w:t>Granite 8B (ABC) minus Qwen 14B (ABC)</w:t>
            </w:r>
          </w:p>
        </w:tc>
        <w:tc>
          <w:tcPr>
            <w:tcW w:type="dxa" w:w="2606"/>
            <w:vAlign w:val="center"/>
          </w:tcPr>
          <w:p>
            <w:pPr>
              <w:spacing w:after="80" w:before="80" w:line="252" w:lineRule="auto"/>
            </w:pPr>
            <w:r>
              <w:rPr>
                <w:rFonts w:ascii="Arial" w:hAnsi="Arial"/>
                <w:sz w:val="19"/>
              </w:rPr>
              <w:t>8.2 [-6.2, 19.9]</w:t>
            </w:r>
          </w:p>
        </w:tc>
        <w:tc>
          <w:tcPr>
            <w:tcW w:type="dxa" w:w="2606"/>
            <w:vAlign w:val="center"/>
          </w:tcPr>
          <w:p>
            <w:pPr>
              <w:spacing w:after="80" w:before="80" w:line="252" w:lineRule="auto"/>
            </w:pPr>
            <w:r>
              <w:rPr>
                <w:rFonts w:ascii="Arial" w:hAnsi="Arial"/>
                <w:sz w:val="19"/>
              </w:rPr>
              <w:t>12.2 [-8.9, 24.2]</w:t>
            </w:r>
          </w:p>
        </w:tc>
      </w:tr>
      <w:tr>
        <w:trPr>
          <w:cantSplit/>
        </w:trPr>
        <w:tc>
          <w:tcPr>
            <w:tcW w:type="dxa" w:w="4507"/>
            <w:vAlign w:val="center"/>
          </w:tcPr>
          <w:p>
            <w:pPr>
              <w:spacing w:after="80" w:before="80" w:line="252" w:lineRule="auto"/>
            </w:pPr>
            <w:r>
              <w:rPr>
                <w:rFonts w:ascii="Arial" w:hAnsi="Arial"/>
                <w:sz w:val="19"/>
              </w:rPr>
              <w:t>Granite 8B (ABC) minus Granite 8B (facts only ABC)</w:t>
            </w:r>
          </w:p>
        </w:tc>
        <w:tc>
          <w:tcPr>
            <w:tcW w:type="dxa" w:w="2606"/>
            <w:vAlign w:val="center"/>
          </w:tcPr>
          <w:p>
            <w:pPr>
              <w:spacing w:after="80" w:before="80" w:line="252" w:lineRule="auto"/>
            </w:pPr>
            <w:r>
              <w:rPr>
                <w:rFonts w:ascii="Arial" w:hAnsi="Arial"/>
                <w:sz w:val="19"/>
              </w:rPr>
              <w:t>16.3 [1.4, 31.6]</w:t>
            </w:r>
          </w:p>
        </w:tc>
        <w:tc>
          <w:tcPr>
            <w:tcW w:type="dxa" w:w="2606"/>
            <w:vAlign w:val="center"/>
          </w:tcPr>
          <w:p>
            <w:pPr>
              <w:spacing w:after="80" w:before="80" w:line="252" w:lineRule="auto"/>
            </w:pPr>
            <w:r>
              <w:rPr>
                <w:rFonts w:ascii="Arial" w:hAnsi="Arial"/>
                <w:sz w:val="19"/>
              </w:rPr>
              <w:t>13.3 [-6.6, 29.4]</w:t>
            </w:r>
          </w:p>
        </w:tc>
      </w:tr>
      <w:tr>
        <w:trPr>
          <w:cantSplit/>
        </w:trPr>
        <w:tc>
          <w:tcPr>
            <w:tcW w:type="dxa" w:w="4507"/>
            <w:vAlign w:val="center"/>
          </w:tcPr>
          <w:p>
            <w:pPr>
              <w:spacing w:after="80" w:before="80" w:line="252" w:lineRule="auto"/>
            </w:pPr>
            <w:r>
              <w:rPr>
                <w:rFonts w:ascii="Arial" w:hAnsi="Arial"/>
                <w:sz w:val="19"/>
              </w:rPr>
              <w:t>Granite 8B (ABC) minus Granite 8B (rules only ABC)</w:t>
            </w:r>
          </w:p>
        </w:tc>
        <w:tc>
          <w:tcPr>
            <w:tcW w:type="dxa" w:w="2606"/>
            <w:vAlign w:val="center"/>
          </w:tcPr>
          <w:p>
            <w:pPr>
              <w:spacing w:after="80" w:before="80" w:line="252" w:lineRule="auto"/>
            </w:pPr>
            <w:r>
              <w:rPr>
                <w:rFonts w:ascii="Arial" w:hAnsi="Arial"/>
                <w:sz w:val="19"/>
              </w:rPr>
              <w:t>22.8 [10.2, 37.2]</w:t>
            </w:r>
          </w:p>
        </w:tc>
        <w:tc>
          <w:tcPr>
            <w:tcW w:type="dxa" w:w="2606"/>
            <w:vAlign w:val="center"/>
          </w:tcPr>
          <w:p>
            <w:pPr>
              <w:spacing w:after="80" w:before="80" w:line="252" w:lineRule="auto"/>
            </w:pPr>
            <w:r>
              <w:rPr>
                <w:rFonts w:ascii="Arial" w:hAnsi="Arial"/>
                <w:sz w:val="19"/>
              </w:rPr>
              <w:t>32.2 [15.7, 47.8]</w:t>
            </w:r>
          </w:p>
        </w:tc>
      </w:tr>
    </w:tbl>
    <w:p>
      <w:pPr>
        <w:spacing w:after="20"/>
      </w:pPr>
    </w:p>
    <w:p>
      <w:pPr>
        <w:keepNext/>
      </w:pPr>
      <w:r>
        <w:rPr>
          <w:b/>
        </w:rPr>
        <w:t>Table S5.8. Recorded inference calls and output integrity.</w:t>
      </w:r>
    </w:p>
    <w:tbl>
      <w:tblPr>
        <w:tblW w:type="auto" w:w="0"/>
        <w:jc w:val="center"/>
        <w:tblLayout w:type="fixed"/>
        <w:tblLook w:firstColumn="1" w:firstRow="1" w:lastColumn="0" w:lastRow="0" w:noHBand="0" w:noVBand="1" w:val="04A0"/>
        <w:tblBorders>
          <w:top w:val="single" w:sz="7" w:color="404040"/>
          <w:bottom w:val="single" w:sz="7" w:color="404040"/>
          <w:left w:val="nil" w:sz="0" w:color="404040"/>
          <w:right w:val="nil" w:sz="0" w:color="404040"/>
          <w:insideH w:val="nil" w:sz="0" w:color="404040"/>
          <w:insideV w:val="nil" w:sz="0" w:color="404040"/>
        </w:tblBorders>
        <w:tblLayout w:type="fixed"/>
      </w:tblPr>
      <w:tblGrid>
        <w:gridCol w:w="2146"/>
        <w:gridCol w:w="1267"/>
        <w:gridCol w:w="2030"/>
        <w:gridCol w:w="1786"/>
        <w:gridCol w:w="1411"/>
        <w:gridCol w:w="1080"/>
      </w:tblGrid>
      <w:tr>
        <w:trPr>
          <w:cantSplit/>
          <w:tblHeader/>
        </w:trPr>
        <w:tc>
          <w:tcPr>
            <w:tcW w:type="dxa" w:w="2146"/>
            <w:vAlign w:val="center"/>
            <w:tcBorders>
              <w:bottom w:val="single" w:sz="5" w:color="404040"/>
            </w:tcBorders>
          </w:tcPr>
          <w:p>
            <w:pPr>
              <w:keepNext/>
              <w:spacing w:after="80" w:before="80" w:line="252" w:lineRule="auto"/>
            </w:pPr>
            <w:r>
              <w:rPr>
                <w:rFonts w:ascii="Arial" w:hAnsi="Arial"/>
                <w:b/>
                <w:sz w:val="19"/>
              </w:rPr>
              <w:t>Protocol</w:t>
            </w:r>
          </w:p>
        </w:tc>
        <w:tc>
          <w:tcPr>
            <w:tcW w:type="dxa" w:w="1267"/>
            <w:vAlign w:val="center"/>
            <w:tcBorders>
              <w:bottom w:val="single" w:sz="5" w:color="404040"/>
            </w:tcBorders>
          </w:tcPr>
          <w:p>
            <w:pPr>
              <w:keepNext/>
              <w:spacing w:after="80" w:before="80" w:line="252" w:lineRule="auto"/>
            </w:pPr>
            <w:r>
              <w:rPr>
                <w:rFonts w:ascii="Arial" w:hAnsi="Arial"/>
                <w:b/>
                <w:sz w:val="19"/>
              </w:rPr>
              <w:t>Recorded cases</w:t>
            </w:r>
          </w:p>
        </w:tc>
        <w:tc>
          <w:tcPr>
            <w:tcW w:type="dxa" w:w="2030"/>
            <w:vAlign w:val="center"/>
            <w:tcBorders>
              <w:bottom w:val="single" w:sz="5" w:color="404040"/>
            </w:tcBorders>
          </w:tcPr>
          <w:p>
            <w:pPr>
              <w:keepNext/>
              <w:spacing w:after="80" w:before="80" w:line="252" w:lineRule="auto"/>
            </w:pPr>
            <w:r>
              <w:rPr>
                <w:rFonts w:ascii="Arial" w:hAnsi="Arial"/>
                <w:b/>
                <w:sz w:val="19"/>
              </w:rPr>
              <w:t>Recorded inference seconds</w:t>
            </w:r>
          </w:p>
        </w:tc>
        <w:tc>
          <w:tcPr>
            <w:tcW w:type="dxa" w:w="1786"/>
            <w:vAlign w:val="center"/>
            <w:tcBorders>
              <w:bottom w:val="single" w:sz="5" w:color="404040"/>
            </w:tcBorders>
          </w:tcPr>
          <w:p>
            <w:pPr>
              <w:keepNext/>
              <w:spacing w:after="80" w:before="80" w:line="252" w:lineRule="auto"/>
            </w:pPr>
            <w:r>
              <w:rPr>
                <w:rFonts w:ascii="Arial" w:hAnsi="Arial"/>
                <w:b/>
                <w:sz w:val="19"/>
              </w:rPr>
              <w:t>Invalid native outputs</w:t>
            </w:r>
          </w:p>
        </w:tc>
        <w:tc>
          <w:tcPr>
            <w:tcW w:type="dxa" w:w="1411"/>
            <w:vAlign w:val="center"/>
            <w:tcBorders>
              <w:bottom w:val="single" w:sz="5" w:color="404040"/>
            </w:tcBorders>
          </w:tcPr>
          <w:p>
            <w:pPr>
              <w:keepNext/>
              <w:spacing w:after="80" w:before="80" w:line="252" w:lineRule="auto"/>
            </w:pPr>
            <w:r>
              <w:rPr>
                <w:rFonts w:ascii="Arial" w:hAnsi="Arial"/>
                <w:b/>
                <w:sz w:val="19"/>
              </w:rPr>
              <w:t>Truncated inputs</w:t>
            </w:r>
          </w:p>
        </w:tc>
        <w:tc>
          <w:tcPr>
            <w:tcW w:type="dxa" w:w="1080"/>
            <w:vAlign w:val="center"/>
            <w:tcBorders>
              <w:bottom w:val="single" w:sz="5" w:color="404040"/>
            </w:tcBorders>
          </w:tcPr>
          <w:p>
            <w:pPr>
              <w:keepNext/>
              <w:spacing w:after="80" w:before="80" w:line="252" w:lineRule="auto"/>
            </w:pPr>
            <w:r>
              <w:rPr>
                <w:rFonts w:ascii="Arial" w:hAnsi="Arial"/>
                <w:b/>
                <w:sz w:val="19"/>
              </w:rPr>
              <w:t>Limit stops</w:t>
            </w:r>
          </w:p>
        </w:tc>
      </w:tr>
      <w:tr>
        <w:trPr>
          <w:cantSplit/>
        </w:trPr>
        <w:tc>
          <w:tcPr>
            <w:tcW w:type="dxa" w:w="2146"/>
            <w:vAlign w:val="center"/>
          </w:tcPr>
          <w:p>
            <w:pPr>
              <w:spacing w:after="80" w:before="80" w:line="252" w:lineRule="auto"/>
            </w:pPr>
            <w:r>
              <w:rPr>
                <w:rFonts w:ascii="Arial" w:hAnsi="Arial"/>
                <w:sz w:val="19"/>
              </w:rPr>
              <w:t>Qwen 0.6B (JSON)</w:t>
            </w:r>
          </w:p>
        </w:tc>
        <w:tc>
          <w:tcPr>
            <w:tcW w:type="dxa" w:w="1267"/>
            <w:vAlign w:val="center"/>
          </w:tcPr>
          <w:p>
            <w:pPr>
              <w:spacing w:after="80" w:before="80" w:line="252" w:lineRule="auto"/>
            </w:pPr>
            <w:r>
              <w:rPr>
                <w:rFonts w:ascii="Arial" w:hAnsi="Arial"/>
                <w:sz w:val="19"/>
              </w:rPr>
              <w:t>86</w:t>
            </w:r>
          </w:p>
        </w:tc>
        <w:tc>
          <w:tcPr>
            <w:tcW w:type="dxa" w:w="2030"/>
            <w:vAlign w:val="center"/>
          </w:tcPr>
          <w:p>
            <w:pPr>
              <w:spacing w:after="80" w:before="80" w:line="252" w:lineRule="auto"/>
            </w:pPr>
            <w:r>
              <w:rPr>
                <w:rFonts w:ascii="Arial" w:hAnsi="Arial"/>
                <w:sz w:val="19"/>
              </w:rPr>
              <w:t>350.69</w:t>
            </w:r>
          </w:p>
        </w:tc>
        <w:tc>
          <w:tcPr>
            <w:tcW w:type="dxa" w:w="1786"/>
            <w:vAlign w:val="center"/>
          </w:tcPr>
          <w:p>
            <w:pPr>
              <w:spacing w:after="80" w:before="80" w:line="252" w:lineRule="auto"/>
            </w:pPr>
            <w:r>
              <w:rPr>
                <w:rFonts w:ascii="Arial" w:hAnsi="Arial"/>
                <w:sz w:val="19"/>
              </w:rPr>
              <w:t>0</w:t>
            </w:r>
          </w:p>
        </w:tc>
        <w:tc>
          <w:tcPr>
            <w:tcW w:type="dxa" w:w="1411"/>
            <w:vAlign w:val="center"/>
          </w:tcPr>
          <w:p>
            <w:pPr>
              <w:spacing w:after="80" w:before="80" w:line="252" w:lineRule="auto"/>
            </w:pPr>
            <w:r>
              <w:rPr>
                <w:rFonts w:ascii="Arial" w:hAnsi="Arial"/>
                <w:sz w:val="19"/>
              </w:rPr>
              <w:t>0</w:t>
            </w:r>
          </w:p>
        </w:tc>
        <w:tc>
          <w:tcPr>
            <w:tcW w:type="dxa" w:w="1080"/>
            <w:vAlign w:val="center"/>
          </w:tcPr>
          <w:p>
            <w:pPr>
              <w:spacing w:after="80" w:before="80" w:line="252" w:lineRule="auto"/>
            </w:pPr>
            <w:r>
              <w:rPr>
                <w:rFonts w:ascii="Arial" w:hAnsi="Arial"/>
                <w:sz w:val="19"/>
              </w:rPr>
              <w:t>0</w:t>
            </w:r>
          </w:p>
        </w:tc>
      </w:tr>
      <w:tr>
        <w:trPr>
          <w:cantSplit/>
        </w:trPr>
        <w:tc>
          <w:tcPr>
            <w:tcW w:type="dxa" w:w="2146"/>
            <w:vAlign w:val="center"/>
          </w:tcPr>
          <w:p>
            <w:pPr>
              <w:spacing w:after="80" w:before="80" w:line="252" w:lineRule="auto"/>
            </w:pPr>
            <w:r>
              <w:rPr>
                <w:rFonts w:ascii="Arial" w:hAnsi="Arial"/>
                <w:sz w:val="19"/>
              </w:rPr>
              <w:t>Qwen 14B (ABC)</w:t>
            </w:r>
          </w:p>
        </w:tc>
        <w:tc>
          <w:tcPr>
            <w:tcW w:type="dxa" w:w="1267"/>
            <w:vAlign w:val="center"/>
          </w:tcPr>
          <w:p>
            <w:pPr>
              <w:spacing w:after="80" w:before="80" w:line="252" w:lineRule="auto"/>
            </w:pPr>
            <w:r>
              <w:rPr>
                <w:rFonts w:ascii="Arial" w:hAnsi="Arial"/>
                <w:sz w:val="19"/>
              </w:rPr>
              <w:t>86</w:t>
            </w:r>
          </w:p>
        </w:tc>
        <w:tc>
          <w:tcPr>
            <w:tcW w:type="dxa" w:w="2030"/>
            <w:vAlign w:val="center"/>
          </w:tcPr>
          <w:p>
            <w:pPr>
              <w:spacing w:after="80" w:before="80" w:line="252" w:lineRule="auto"/>
            </w:pPr>
            <w:r>
              <w:rPr>
                <w:rFonts w:ascii="Arial" w:hAnsi="Arial"/>
                <w:sz w:val="19"/>
              </w:rPr>
              <w:t>1759.21</w:t>
            </w:r>
          </w:p>
        </w:tc>
        <w:tc>
          <w:tcPr>
            <w:tcW w:type="dxa" w:w="1786"/>
            <w:vAlign w:val="center"/>
          </w:tcPr>
          <w:p>
            <w:pPr>
              <w:spacing w:after="80" w:before="80" w:line="252" w:lineRule="auto"/>
            </w:pPr>
            <w:r>
              <w:rPr>
                <w:rFonts w:ascii="Arial" w:hAnsi="Arial"/>
                <w:sz w:val="19"/>
              </w:rPr>
              <w:t>0</w:t>
            </w:r>
          </w:p>
        </w:tc>
        <w:tc>
          <w:tcPr>
            <w:tcW w:type="dxa" w:w="1411"/>
            <w:vAlign w:val="center"/>
          </w:tcPr>
          <w:p>
            <w:pPr>
              <w:spacing w:after="80" w:before="80" w:line="252" w:lineRule="auto"/>
            </w:pPr>
            <w:r>
              <w:rPr>
                <w:rFonts w:ascii="Arial" w:hAnsi="Arial"/>
                <w:sz w:val="19"/>
              </w:rPr>
              <w:t>0</w:t>
            </w:r>
          </w:p>
        </w:tc>
        <w:tc>
          <w:tcPr>
            <w:tcW w:type="dxa" w:w="1080"/>
            <w:vAlign w:val="center"/>
          </w:tcPr>
          <w:p>
            <w:pPr>
              <w:spacing w:after="80" w:before="80" w:line="252" w:lineRule="auto"/>
            </w:pPr>
            <w:r>
              <w:rPr>
                <w:rFonts w:ascii="Arial" w:hAnsi="Arial"/>
                <w:sz w:val="19"/>
              </w:rPr>
              <w:t>86</w:t>
            </w:r>
          </w:p>
        </w:tc>
      </w:tr>
      <w:tr>
        <w:trPr>
          <w:cantSplit/>
        </w:trPr>
        <w:tc>
          <w:tcPr>
            <w:tcW w:type="dxa" w:w="2146"/>
            <w:vAlign w:val="center"/>
          </w:tcPr>
          <w:p>
            <w:pPr>
              <w:spacing w:after="80" w:before="80" w:line="252" w:lineRule="auto"/>
            </w:pPr>
            <w:r>
              <w:rPr>
                <w:rFonts w:ascii="Arial" w:hAnsi="Arial"/>
                <w:sz w:val="19"/>
              </w:rPr>
              <w:t>Qwen 14B (JSON)</w:t>
            </w:r>
          </w:p>
        </w:tc>
        <w:tc>
          <w:tcPr>
            <w:tcW w:type="dxa" w:w="1267"/>
            <w:vAlign w:val="center"/>
          </w:tcPr>
          <w:p>
            <w:pPr>
              <w:spacing w:after="80" w:before="80" w:line="252" w:lineRule="auto"/>
            </w:pPr>
            <w:r>
              <w:rPr>
                <w:rFonts w:ascii="Arial" w:hAnsi="Arial"/>
                <w:sz w:val="19"/>
              </w:rPr>
              <w:t>86</w:t>
            </w:r>
          </w:p>
        </w:tc>
        <w:tc>
          <w:tcPr>
            <w:tcW w:type="dxa" w:w="2030"/>
            <w:vAlign w:val="center"/>
          </w:tcPr>
          <w:p>
            <w:pPr>
              <w:spacing w:after="80" w:before="80" w:line="252" w:lineRule="auto"/>
            </w:pPr>
            <w:r>
              <w:rPr>
                <w:rFonts w:ascii="Arial" w:hAnsi="Arial"/>
                <w:sz w:val="19"/>
              </w:rPr>
              <w:t>1611.96</w:t>
            </w:r>
          </w:p>
        </w:tc>
        <w:tc>
          <w:tcPr>
            <w:tcW w:type="dxa" w:w="1786"/>
            <w:vAlign w:val="center"/>
          </w:tcPr>
          <w:p>
            <w:pPr>
              <w:spacing w:after="80" w:before="80" w:line="252" w:lineRule="auto"/>
            </w:pPr>
            <w:r>
              <w:rPr>
                <w:rFonts w:ascii="Arial" w:hAnsi="Arial"/>
                <w:sz w:val="19"/>
              </w:rPr>
              <w:t>0</w:t>
            </w:r>
          </w:p>
        </w:tc>
        <w:tc>
          <w:tcPr>
            <w:tcW w:type="dxa" w:w="1411"/>
            <w:vAlign w:val="center"/>
          </w:tcPr>
          <w:p>
            <w:pPr>
              <w:spacing w:after="80" w:before="80" w:line="252" w:lineRule="auto"/>
            </w:pPr>
            <w:r>
              <w:rPr>
                <w:rFonts w:ascii="Arial" w:hAnsi="Arial"/>
                <w:sz w:val="19"/>
              </w:rPr>
              <w:t>0</w:t>
            </w:r>
          </w:p>
        </w:tc>
        <w:tc>
          <w:tcPr>
            <w:tcW w:type="dxa" w:w="1080"/>
            <w:vAlign w:val="center"/>
          </w:tcPr>
          <w:p>
            <w:pPr>
              <w:spacing w:after="80" w:before="80" w:line="252" w:lineRule="auto"/>
            </w:pPr>
            <w:r>
              <w:rPr>
                <w:rFonts w:ascii="Arial" w:hAnsi="Arial"/>
                <w:sz w:val="19"/>
              </w:rPr>
              <w:t>0</w:t>
            </w:r>
          </w:p>
        </w:tc>
      </w:tr>
      <w:tr>
        <w:trPr>
          <w:cantSplit/>
        </w:trPr>
        <w:tc>
          <w:tcPr>
            <w:tcW w:type="dxa" w:w="2146"/>
            <w:vAlign w:val="center"/>
          </w:tcPr>
          <w:p>
            <w:pPr>
              <w:spacing w:after="80" w:before="80" w:line="252" w:lineRule="auto"/>
            </w:pPr>
            <w:r>
              <w:rPr>
                <w:rFonts w:ascii="Arial" w:hAnsi="Arial"/>
                <w:sz w:val="19"/>
              </w:rPr>
              <w:t>Granite 8B (ABC)</w:t>
            </w:r>
          </w:p>
        </w:tc>
        <w:tc>
          <w:tcPr>
            <w:tcW w:type="dxa" w:w="1267"/>
            <w:vAlign w:val="center"/>
          </w:tcPr>
          <w:p>
            <w:pPr>
              <w:spacing w:after="80" w:before="80" w:line="252" w:lineRule="auto"/>
            </w:pPr>
            <w:r>
              <w:rPr>
                <w:rFonts w:ascii="Arial" w:hAnsi="Arial"/>
                <w:sz w:val="19"/>
              </w:rPr>
              <w:t>86</w:t>
            </w:r>
          </w:p>
        </w:tc>
        <w:tc>
          <w:tcPr>
            <w:tcW w:type="dxa" w:w="2030"/>
            <w:vAlign w:val="center"/>
          </w:tcPr>
          <w:p>
            <w:pPr>
              <w:spacing w:after="80" w:before="80" w:line="252" w:lineRule="auto"/>
            </w:pPr>
            <w:r>
              <w:rPr>
                <w:rFonts w:ascii="Arial" w:hAnsi="Arial"/>
                <w:sz w:val="19"/>
              </w:rPr>
              <w:t>707.83</w:t>
            </w:r>
          </w:p>
        </w:tc>
        <w:tc>
          <w:tcPr>
            <w:tcW w:type="dxa" w:w="1786"/>
            <w:vAlign w:val="center"/>
          </w:tcPr>
          <w:p>
            <w:pPr>
              <w:spacing w:after="80" w:before="80" w:line="252" w:lineRule="auto"/>
            </w:pPr>
            <w:r>
              <w:rPr>
                <w:rFonts w:ascii="Arial" w:hAnsi="Arial"/>
                <w:sz w:val="19"/>
              </w:rPr>
              <w:t>0</w:t>
            </w:r>
          </w:p>
        </w:tc>
        <w:tc>
          <w:tcPr>
            <w:tcW w:type="dxa" w:w="1411"/>
            <w:vAlign w:val="center"/>
          </w:tcPr>
          <w:p>
            <w:pPr>
              <w:spacing w:after="80" w:before="80" w:line="252" w:lineRule="auto"/>
            </w:pPr>
            <w:r>
              <w:rPr>
                <w:rFonts w:ascii="Arial" w:hAnsi="Arial"/>
                <w:sz w:val="19"/>
              </w:rPr>
              <w:t>0</w:t>
            </w:r>
          </w:p>
        </w:tc>
        <w:tc>
          <w:tcPr>
            <w:tcW w:type="dxa" w:w="1080"/>
            <w:vAlign w:val="center"/>
          </w:tcPr>
          <w:p>
            <w:pPr>
              <w:spacing w:after="80" w:before="80" w:line="252" w:lineRule="auto"/>
            </w:pPr>
            <w:r>
              <w:rPr>
                <w:rFonts w:ascii="Arial" w:hAnsi="Arial"/>
                <w:sz w:val="19"/>
              </w:rPr>
              <w:t>86</w:t>
            </w:r>
          </w:p>
        </w:tc>
      </w:tr>
      <w:tr>
        <w:trPr>
          <w:cantSplit/>
        </w:trPr>
        <w:tc>
          <w:tcPr>
            <w:tcW w:type="dxa" w:w="2146"/>
            <w:vAlign w:val="center"/>
          </w:tcPr>
          <w:p>
            <w:pPr>
              <w:spacing w:after="80" w:before="80" w:line="252" w:lineRule="auto"/>
            </w:pPr>
            <w:r>
              <w:rPr>
                <w:rFonts w:ascii="Arial" w:hAnsi="Arial"/>
                <w:sz w:val="19"/>
              </w:rPr>
              <w:t>Granite 8B (JSON)</w:t>
            </w:r>
          </w:p>
        </w:tc>
        <w:tc>
          <w:tcPr>
            <w:tcW w:type="dxa" w:w="1267"/>
            <w:vAlign w:val="center"/>
          </w:tcPr>
          <w:p>
            <w:pPr>
              <w:spacing w:after="80" w:before="80" w:line="252" w:lineRule="auto"/>
            </w:pPr>
            <w:r>
              <w:rPr>
                <w:rFonts w:ascii="Arial" w:hAnsi="Arial"/>
                <w:sz w:val="19"/>
              </w:rPr>
              <w:t>86</w:t>
            </w:r>
          </w:p>
        </w:tc>
        <w:tc>
          <w:tcPr>
            <w:tcW w:type="dxa" w:w="2030"/>
            <w:vAlign w:val="center"/>
          </w:tcPr>
          <w:p>
            <w:pPr>
              <w:spacing w:after="80" w:before="80" w:line="252" w:lineRule="auto"/>
            </w:pPr>
            <w:r>
              <w:rPr>
                <w:rFonts w:ascii="Arial" w:hAnsi="Arial"/>
                <w:sz w:val="19"/>
              </w:rPr>
              <w:t>915.84</w:t>
            </w:r>
          </w:p>
        </w:tc>
        <w:tc>
          <w:tcPr>
            <w:tcW w:type="dxa" w:w="1786"/>
            <w:vAlign w:val="center"/>
          </w:tcPr>
          <w:p>
            <w:pPr>
              <w:spacing w:after="80" w:before="80" w:line="252" w:lineRule="auto"/>
            </w:pPr>
            <w:r>
              <w:rPr>
                <w:rFonts w:ascii="Arial" w:hAnsi="Arial"/>
                <w:sz w:val="19"/>
              </w:rPr>
              <w:t>0</w:t>
            </w:r>
          </w:p>
        </w:tc>
        <w:tc>
          <w:tcPr>
            <w:tcW w:type="dxa" w:w="1411"/>
            <w:vAlign w:val="center"/>
          </w:tcPr>
          <w:p>
            <w:pPr>
              <w:spacing w:after="80" w:before="80" w:line="252" w:lineRule="auto"/>
            </w:pPr>
            <w:r>
              <w:rPr>
                <w:rFonts w:ascii="Arial" w:hAnsi="Arial"/>
                <w:sz w:val="19"/>
              </w:rPr>
              <w:t>0</w:t>
            </w:r>
          </w:p>
        </w:tc>
        <w:tc>
          <w:tcPr>
            <w:tcW w:type="dxa" w:w="1080"/>
            <w:vAlign w:val="center"/>
          </w:tcPr>
          <w:p>
            <w:pPr>
              <w:spacing w:after="80" w:before="80" w:line="252" w:lineRule="auto"/>
            </w:pPr>
            <w:r>
              <w:rPr>
                <w:rFonts w:ascii="Arial" w:hAnsi="Arial"/>
                <w:sz w:val="19"/>
              </w:rPr>
              <w:t>0</w:t>
            </w:r>
          </w:p>
        </w:tc>
      </w:tr>
      <w:tr>
        <w:trPr>
          <w:cantSplit/>
        </w:trPr>
        <w:tc>
          <w:tcPr>
            <w:tcW w:type="dxa" w:w="2146"/>
            <w:vAlign w:val="center"/>
          </w:tcPr>
          <w:p>
            <w:pPr>
              <w:spacing w:after="80" w:before="80" w:line="252" w:lineRule="auto"/>
            </w:pPr>
            <w:r>
              <w:rPr>
                <w:rFonts w:ascii="Arial" w:hAnsi="Arial"/>
                <w:sz w:val="19"/>
              </w:rPr>
              <w:t>Granite 8B (facts only ABC)</w:t>
            </w:r>
          </w:p>
        </w:tc>
        <w:tc>
          <w:tcPr>
            <w:tcW w:type="dxa" w:w="1267"/>
            <w:vAlign w:val="center"/>
          </w:tcPr>
          <w:p>
            <w:pPr>
              <w:spacing w:after="80" w:before="80" w:line="252" w:lineRule="auto"/>
            </w:pPr>
            <w:r>
              <w:rPr>
                <w:rFonts w:ascii="Arial" w:hAnsi="Arial"/>
                <w:sz w:val="19"/>
              </w:rPr>
              <w:t>86</w:t>
            </w:r>
          </w:p>
        </w:tc>
        <w:tc>
          <w:tcPr>
            <w:tcW w:type="dxa" w:w="2030"/>
            <w:vAlign w:val="center"/>
          </w:tcPr>
          <w:p>
            <w:pPr>
              <w:spacing w:after="80" w:before="80" w:line="252" w:lineRule="auto"/>
            </w:pPr>
            <w:r>
              <w:rPr>
                <w:rFonts w:ascii="Arial" w:hAnsi="Arial"/>
                <w:sz w:val="19"/>
              </w:rPr>
              <w:t>619.55</w:t>
            </w:r>
          </w:p>
        </w:tc>
        <w:tc>
          <w:tcPr>
            <w:tcW w:type="dxa" w:w="1786"/>
            <w:vAlign w:val="center"/>
          </w:tcPr>
          <w:p>
            <w:pPr>
              <w:spacing w:after="80" w:before="80" w:line="252" w:lineRule="auto"/>
            </w:pPr>
            <w:r>
              <w:rPr>
                <w:rFonts w:ascii="Arial" w:hAnsi="Arial"/>
                <w:sz w:val="19"/>
              </w:rPr>
              <w:t>0</w:t>
            </w:r>
          </w:p>
        </w:tc>
        <w:tc>
          <w:tcPr>
            <w:tcW w:type="dxa" w:w="1411"/>
            <w:vAlign w:val="center"/>
          </w:tcPr>
          <w:p>
            <w:pPr>
              <w:spacing w:after="80" w:before="80" w:line="252" w:lineRule="auto"/>
            </w:pPr>
            <w:r>
              <w:rPr>
                <w:rFonts w:ascii="Arial" w:hAnsi="Arial"/>
                <w:sz w:val="19"/>
              </w:rPr>
              <w:t>0</w:t>
            </w:r>
          </w:p>
        </w:tc>
        <w:tc>
          <w:tcPr>
            <w:tcW w:type="dxa" w:w="1080"/>
            <w:vAlign w:val="center"/>
          </w:tcPr>
          <w:p>
            <w:pPr>
              <w:spacing w:after="80" w:before="80" w:line="252" w:lineRule="auto"/>
            </w:pPr>
            <w:r>
              <w:rPr>
                <w:rFonts w:ascii="Arial" w:hAnsi="Arial"/>
                <w:sz w:val="19"/>
              </w:rPr>
              <w:t>86</w:t>
            </w:r>
          </w:p>
        </w:tc>
      </w:tr>
      <w:tr>
        <w:trPr>
          <w:cantSplit/>
        </w:trPr>
        <w:tc>
          <w:tcPr>
            <w:tcW w:type="dxa" w:w="2146"/>
            <w:vAlign w:val="center"/>
          </w:tcPr>
          <w:p>
            <w:pPr>
              <w:spacing w:after="80" w:before="80" w:line="252" w:lineRule="auto"/>
            </w:pPr>
            <w:r>
              <w:rPr>
                <w:rFonts w:ascii="Arial" w:hAnsi="Arial"/>
                <w:sz w:val="19"/>
              </w:rPr>
              <w:t>Granite 8B (rules only ABC)</w:t>
            </w:r>
          </w:p>
        </w:tc>
        <w:tc>
          <w:tcPr>
            <w:tcW w:type="dxa" w:w="1267"/>
            <w:vAlign w:val="center"/>
          </w:tcPr>
          <w:p>
            <w:pPr>
              <w:spacing w:after="80" w:before="80" w:line="252" w:lineRule="auto"/>
            </w:pPr>
            <w:r>
              <w:rPr>
                <w:rFonts w:ascii="Arial" w:hAnsi="Arial"/>
                <w:sz w:val="19"/>
              </w:rPr>
              <w:t>86</w:t>
            </w:r>
          </w:p>
        </w:tc>
        <w:tc>
          <w:tcPr>
            <w:tcW w:type="dxa" w:w="2030"/>
            <w:vAlign w:val="center"/>
          </w:tcPr>
          <w:p>
            <w:pPr>
              <w:spacing w:after="80" w:before="80" w:line="252" w:lineRule="auto"/>
            </w:pPr>
            <w:r>
              <w:rPr>
                <w:rFonts w:ascii="Arial" w:hAnsi="Arial"/>
                <w:sz w:val="19"/>
              </w:rPr>
              <w:t>237.32</w:t>
            </w:r>
          </w:p>
        </w:tc>
        <w:tc>
          <w:tcPr>
            <w:tcW w:type="dxa" w:w="1786"/>
            <w:vAlign w:val="center"/>
          </w:tcPr>
          <w:p>
            <w:pPr>
              <w:spacing w:after="80" w:before="80" w:line="252" w:lineRule="auto"/>
            </w:pPr>
            <w:r>
              <w:rPr>
                <w:rFonts w:ascii="Arial" w:hAnsi="Arial"/>
                <w:sz w:val="19"/>
              </w:rPr>
              <w:t>0</w:t>
            </w:r>
          </w:p>
        </w:tc>
        <w:tc>
          <w:tcPr>
            <w:tcW w:type="dxa" w:w="1411"/>
            <w:vAlign w:val="center"/>
          </w:tcPr>
          <w:p>
            <w:pPr>
              <w:spacing w:after="80" w:before="80" w:line="252" w:lineRule="auto"/>
            </w:pPr>
            <w:r>
              <w:rPr>
                <w:rFonts w:ascii="Arial" w:hAnsi="Arial"/>
                <w:sz w:val="19"/>
              </w:rPr>
              <w:t>0</w:t>
            </w:r>
          </w:p>
        </w:tc>
        <w:tc>
          <w:tcPr>
            <w:tcW w:type="dxa" w:w="1080"/>
            <w:vAlign w:val="center"/>
          </w:tcPr>
          <w:p>
            <w:pPr>
              <w:spacing w:after="80" w:before="80" w:line="252" w:lineRule="auto"/>
            </w:pPr>
            <w:r>
              <w:rPr>
                <w:rFonts w:ascii="Arial" w:hAnsi="Arial"/>
                <w:sz w:val="19"/>
              </w:rPr>
              <w:t>86</w:t>
            </w:r>
          </w:p>
        </w:tc>
      </w:tr>
      <w:tr>
        <w:trPr>
          <w:cantSplit/>
        </w:trPr>
        <w:tc>
          <w:tcPr>
            <w:tcW w:type="dxa" w:w="2146"/>
            <w:vAlign w:val="center"/>
          </w:tcPr>
          <w:p>
            <w:pPr>
              <w:spacing w:after="80" w:before="80" w:line="252" w:lineRule="auto"/>
            </w:pPr>
            <w:r>
              <w:rPr>
                <w:rFonts w:ascii="Arial" w:hAnsi="Arial"/>
                <w:sz w:val="19"/>
              </w:rPr>
              <w:t>Granite 8B (decomposition)</w:t>
            </w:r>
          </w:p>
        </w:tc>
        <w:tc>
          <w:tcPr>
            <w:tcW w:type="dxa" w:w="1267"/>
            <w:vAlign w:val="center"/>
          </w:tcPr>
          <w:p>
            <w:pPr>
              <w:spacing w:after="80" w:before="80" w:line="252" w:lineRule="auto"/>
            </w:pPr>
            <w:r>
              <w:rPr>
                <w:rFonts w:ascii="Arial" w:hAnsi="Arial"/>
                <w:sz w:val="19"/>
              </w:rPr>
              <w:t>86</w:t>
            </w:r>
          </w:p>
        </w:tc>
        <w:tc>
          <w:tcPr>
            <w:tcW w:type="dxa" w:w="2030"/>
            <w:vAlign w:val="center"/>
          </w:tcPr>
          <w:p>
            <w:pPr>
              <w:spacing w:after="80" w:before="80" w:line="252" w:lineRule="auto"/>
            </w:pPr>
            <w:r>
              <w:rPr>
                <w:rFonts w:ascii="Arial" w:hAnsi="Arial"/>
                <w:sz w:val="19"/>
              </w:rPr>
              <w:t>2102.05</w:t>
            </w:r>
          </w:p>
        </w:tc>
        <w:tc>
          <w:tcPr>
            <w:tcW w:type="dxa" w:w="1786"/>
            <w:vAlign w:val="center"/>
          </w:tcPr>
          <w:p>
            <w:pPr>
              <w:spacing w:after="80" w:before="80" w:line="252" w:lineRule="auto"/>
            </w:pPr>
            <w:r>
              <w:rPr>
                <w:rFonts w:ascii="Arial" w:hAnsi="Arial"/>
                <w:sz w:val="19"/>
              </w:rPr>
              <w:t>72</w:t>
            </w:r>
          </w:p>
        </w:tc>
        <w:tc>
          <w:tcPr>
            <w:tcW w:type="dxa" w:w="1411"/>
            <w:vAlign w:val="center"/>
          </w:tcPr>
          <w:p>
            <w:pPr>
              <w:spacing w:after="80" w:before="80" w:line="252" w:lineRule="auto"/>
            </w:pPr>
            <w:r>
              <w:rPr>
                <w:rFonts w:ascii="Arial" w:hAnsi="Arial"/>
                <w:sz w:val="19"/>
              </w:rPr>
              <w:t>0</w:t>
            </w:r>
          </w:p>
        </w:tc>
        <w:tc>
          <w:tcPr>
            <w:tcW w:type="dxa" w:w="1080"/>
            <w:vAlign w:val="center"/>
          </w:tcPr>
          <w:p>
            <w:pPr>
              <w:spacing w:after="80" w:before="80" w:line="252" w:lineRule="auto"/>
            </w:pPr>
            <w:r>
              <w:rPr>
                <w:rFonts w:ascii="Arial" w:hAnsi="Arial"/>
                <w:sz w:val="19"/>
              </w:rPr>
              <w:t>0</w:t>
            </w:r>
          </w:p>
        </w:tc>
      </w:tr>
      <w:tr>
        <w:trPr>
          <w:cantSplit/>
        </w:trPr>
        <w:tc>
          <w:tcPr>
            <w:tcW w:type="dxa" w:w="2146"/>
            <w:vAlign w:val="center"/>
          </w:tcPr>
          <w:p>
            <w:pPr>
              <w:spacing w:after="80" w:before="80" w:line="252" w:lineRule="auto"/>
            </w:pPr>
            <w:r>
              <w:rPr>
                <w:rFonts w:ascii="Arial" w:hAnsi="Arial"/>
                <w:sz w:val="19"/>
              </w:rPr>
              <w:t>Qwen 14B (JSON) mechanisms</w:t>
            </w:r>
          </w:p>
        </w:tc>
        <w:tc>
          <w:tcPr>
            <w:tcW w:type="dxa" w:w="1267"/>
            <w:vAlign w:val="center"/>
          </w:tcPr>
          <w:p>
            <w:pPr>
              <w:spacing w:after="80" w:before="80" w:line="252" w:lineRule="auto"/>
            </w:pPr>
            <w:r>
              <w:rPr>
                <w:rFonts w:ascii="Arial" w:hAnsi="Arial"/>
                <w:sz w:val="19"/>
              </w:rPr>
              <w:t>96</w:t>
            </w:r>
          </w:p>
        </w:tc>
        <w:tc>
          <w:tcPr>
            <w:tcW w:type="dxa" w:w="2030"/>
            <w:vAlign w:val="center"/>
          </w:tcPr>
          <w:p>
            <w:pPr>
              <w:spacing w:after="80" w:before="80" w:line="252" w:lineRule="auto"/>
            </w:pPr>
            <w:r>
              <w:rPr>
                <w:rFonts w:ascii="Arial" w:hAnsi="Arial"/>
                <w:sz w:val="19"/>
              </w:rPr>
              <w:t>770.17</w:t>
            </w:r>
          </w:p>
        </w:tc>
        <w:tc>
          <w:tcPr>
            <w:tcW w:type="dxa" w:w="1786"/>
            <w:vAlign w:val="center"/>
          </w:tcPr>
          <w:p>
            <w:pPr>
              <w:spacing w:after="80" w:before="80" w:line="252" w:lineRule="auto"/>
            </w:pPr>
            <w:r>
              <w:rPr>
                <w:rFonts w:ascii="Arial" w:hAnsi="Arial"/>
                <w:sz w:val="19"/>
              </w:rPr>
              <w:t>0</w:t>
            </w:r>
          </w:p>
        </w:tc>
        <w:tc>
          <w:tcPr>
            <w:tcW w:type="dxa" w:w="1411"/>
            <w:vAlign w:val="center"/>
          </w:tcPr>
          <w:p>
            <w:pPr>
              <w:spacing w:after="80" w:before="80" w:line="252" w:lineRule="auto"/>
            </w:pPr>
            <w:r>
              <w:rPr>
                <w:rFonts w:ascii="Arial" w:hAnsi="Arial"/>
                <w:sz w:val="19"/>
              </w:rPr>
              <w:t>0</w:t>
            </w:r>
          </w:p>
        </w:tc>
        <w:tc>
          <w:tcPr>
            <w:tcW w:type="dxa" w:w="1080"/>
            <w:vAlign w:val="center"/>
          </w:tcPr>
          <w:p>
            <w:pPr>
              <w:spacing w:after="80" w:before="80" w:line="252" w:lineRule="auto"/>
            </w:pPr>
            <w:r>
              <w:rPr>
                <w:rFonts w:ascii="Arial" w:hAnsi="Arial"/>
                <w:sz w:val="19"/>
              </w:rPr>
              <w:t>0</w:t>
            </w:r>
          </w:p>
        </w:tc>
      </w:tr>
      <w:tr>
        <w:trPr>
          <w:cantSplit/>
        </w:trPr>
        <w:tc>
          <w:tcPr>
            <w:tcW w:type="dxa" w:w="2146"/>
            <w:vAlign w:val="center"/>
          </w:tcPr>
          <w:p>
            <w:pPr>
              <w:spacing w:after="80" w:before="80" w:line="252" w:lineRule="auto"/>
            </w:pPr>
            <w:r>
              <w:rPr>
                <w:rFonts w:ascii="Arial" w:hAnsi="Arial"/>
                <w:sz w:val="19"/>
              </w:rPr>
              <w:t>Granite 8B (JSON) mechanisms</w:t>
            </w:r>
          </w:p>
        </w:tc>
        <w:tc>
          <w:tcPr>
            <w:tcW w:type="dxa" w:w="1267"/>
            <w:vAlign w:val="center"/>
          </w:tcPr>
          <w:p>
            <w:pPr>
              <w:spacing w:after="80" w:before="80" w:line="252" w:lineRule="auto"/>
            </w:pPr>
            <w:r>
              <w:rPr>
                <w:rFonts w:ascii="Arial" w:hAnsi="Arial"/>
                <w:sz w:val="19"/>
              </w:rPr>
              <w:t>96</w:t>
            </w:r>
          </w:p>
        </w:tc>
        <w:tc>
          <w:tcPr>
            <w:tcW w:type="dxa" w:w="2030"/>
            <w:vAlign w:val="center"/>
          </w:tcPr>
          <w:p>
            <w:pPr>
              <w:spacing w:after="80" w:before="80" w:line="252" w:lineRule="auto"/>
            </w:pPr>
            <w:r>
              <w:rPr>
                <w:rFonts w:ascii="Arial" w:hAnsi="Arial"/>
                <w:sz w:val="19"/>
              </w:rPr>
              <w:t>514.68</w:t>
            </w:r>
          </w:p>
        </w:tc>
        <w:tc>
          <w:tcPr>
            <w:tcW w:type="dxa" w:w="1786"/>
            <w:vAlign w:val="center"/>
          </w:tcPr>
          <w:p>
            <w:pPr>
              <w:spacing w:after="80" w:before="80" w:line="252" w:lineRule="auto"/>
            </w:pPr>
            <w:r>
              <w:rPr>
                <w:rFonts w:ascii="Arial" w:hAnsi="Arial"/>
                <w:sz w:val="19"/>
              </w:rPr>
              <w:t>0</w:t>
            </w:r>
          </w:p>
        </w:tc>
        <w:tc>
          <w:tcPr>
            <w:tcW w:type="dxa" w:w="1411"/>
            <w:vAlign w:val="center"/>
          </w:tcPr>
          <w:p>
            <w:pPr>
              <w:spacing w:after="80" w:before="80" w:line="252" w:lineRule="auto"/>
            </w:pPr>
            <w:r>
              <w:rPr>
                <w:rFonts w:ascii="Arial" w:hAnsi="Arial"/>
                <w:sz w:val="19"/>
              </w:rPr>
              <w:t>0</w:t>
            </w:r>
          </w:p>
        </w:tc>
        <w:tc>
          <w:tcPr>
            <w:tcW w:type="dxa" w:w="1080"/>
            <w:vAlign w:val="center"/>
          </w:tcPr>
          <w:p>
            <w:pPr>
              <w:spacing w:after="80" w:before="80" w:line="252" w:lineRule="auto"/>
            </w:pPr>
            <w:r>
              <w:rPr>
                <w:rFonts w:ascii="Arial" w:hAnsi="Arial"/>
                <w:sz w:val="19"/>
              </w:rPr>
              <w:t>0</w:t>
            </w:r>
          </w:p>
        </w:tc>
      </w:tr>
    </w:tbl>
    <w:p>
      <w:pPr>
        <w:spacing w:after="20"/>
      </w:pPr>
    </w:p>
    <w:p>
      <w:r>
        <w:t>Recorded inference times exclude weight download, server startup and data construction. Decomposition totals include its cached unique rule-generation calls and case-level evidence calls; they do not charge the same cached rule once per case. For ABC, the invalid column concerns recoverability of the restricted class scores, not full-generation compliance; one-token scoring intentionally reaches its generation limit. Direct JSON invalid counts use strict decision-object parsing; decomposition invalid counts additionally include rule-schema, tree and literal-quotation validation failures. Cross-checkpoint runtime and performance are implementation-dependent, and quantized runs are not controlled comparisons of parameter count. The reporting follows the recorded calls; it is not a prospective economic cost estimate.</w:t>
      </w:r>
    </w:p>
    <w:p>
      <w:pPr>
        <w:keepNext/>
      </w:pPr>
      <w:r>
        <w:rPr>
          <w:b/>
        </w:rPr>
        <w:t>Table S5.9. Accuracy / macro recall (%) under preserved AI coding versions.</w:t>
      </w:r>
    </w:p>
    <w:tbl>
      <w:tblPr>
        <w:tblW w:type="auto" w:w="0"/>
        <w:jc w:val="center"/>
        <w:tblLayout w:type="fixed"/>
        <w:tblLook w:firstColumn="1" w:firstRow="1" w:lastColumn="0" w:lastRow="0" w:noHBand="0" w:noVBand="1" w:val="04A0"/>
        <w:tblBorders>
          <w:top w:val="single" w:sz="7" w:color="404040"/>
          <w:bottom w:val="single" w:sz="7" w:color="404040"/>
          <w:left w:val="nil" w:sz="0" w:color="404040"/>
          <w:right w:val="nil" w:sz="0" w:color="404040"/>
          <w:insideH w:val="nil" w:sz="0" w:color="404040"/>
          <w:insideV w:val="nil" w:sz="0" w:color="404040"/>
        </w:tblBorders>
        <w:tblLayout w:type="fixed"/>
      </w:tblPr>
      <w:tblGrid>
        <w:gridCol w:w="3283"/>
        <w:gridCol w:w="1584"/>
        <w:gridCol w:w="2664"/>
        <w:gridCol w:w="2189"/>
      </w:tblGrid>
      <w:tr>
        <w:trPr>
          <w:cantSplit/>
          <w:tblHeader/>
        </w:trPr>
        <w:tc>
          <w:tcPr>
            <w:tcW w:type="dxa" w:w="3283"/>
            <w:vAlign w:val="center"/>
            <w:tcBorders>
              <w:bottom w:val="single" w:sz="5" w:color="404040"/>
            </w:tcBorders>
          </w:tcPr>
          <w:p>
            <w:pPr>
              <w:keepNext/>
              <w:spacing w:after="80" w:before="80" w:line="252" w:lineRule="auto"/>
            </w:pPr>
            <w:r>
              <w:rPr>
                <w:rFonts w:ascii="Arial" w:hAnsi="Arial"/>
                <w:b/>
                <w:sz w:val="19"/>
              </w:rPr>
              <w:t>Native model / protocol</w:t>
            </w:r>
          </w:p>
        </w:tc>
        <w:tc>
          <w:tcPr>
            <w:tcW w:type="dxa" w:w="1584"/>
            <w:vAlign w:val="center"/>
            <w:tcBorders>
              <w:bottom w:val="single" w:sz="5" w:color="404040"/>
            </w:tcBorders>
          </w:tcPr>
          <w:p>
            <w:pPr>
              <w:keepNext/>
              <w:spacing w:after="80" w:before="80" w:line="252" w:lineRule="auto"/>
            </w:pPr>
            <w:r>
              <w:rPr>
                <w:rFonts w:ascii="Arial" w:hAnsi="Arial"/>
                <w:b/>
                <w:sz w:val="19"/>
              </w:rPr>
              <w:t>First pass</w:t>
            </w:r>
          </w:p>
        </w:tc>
        <w:tc>
          <w:tcPr>
            <w:tcW w:type="dxa" w:w="2664"/>
            <w:vAlign w:val="center"/>
            <w:tcBorders>
              <w:bottom w:val="single" w:sz="5" w:color="404040"/>
            </w:tcBorders>
          </w:tcPr>
          <w:p>
            <w:pPr>
              <w:keepNext/>
              <w:spacing w:after="80" w:before="80" w:line="252" w:lineRule="auto"/>
            </w:pPr>
            <w:r>
              <w:rPr>
                <w:rFonts w:ascii="Arial" w:hAnsi="Arial"/>
                <w:b/>
                <w:sz w:val="19"/>
              </w:rPr>
              <w:t>Second case-level pass</w:t>
            </w:r>
          </w:p>
        </w:tc>
        <w:tc>
          <w:tcPr>
            <w:tcW w:type="dxa" w:w="2189"/>
            <w:vAlign w:val="center"/>
            <w:tcBorders>
              <w:bottom w:val="single" w:sz="5" w:color="404040"/>
            </w:tcBorders>
          </w:tcPr>
          <w:p>
            <w:pPr>
              <w:keepNext/>
              <w:spacing w:after="80" w:before="80" w:line="252" w:lineRule="auto"/>
            </w:pPr>
            <w:r>
              <w:rPr>
                <w:rFonts w:ascii="Arial" w:hAnsi="Arial"/>
                <w:b/>
                <w:sz w:val="19"/>
              </w:rPr>
              <w:t>Final operational</w:t>
            </w:r>
          </w:p>
        </w:tc>
      </w:tr>
      <w:tr>
        <w:trPr>
          <w:cantSplit/>
        </w:trPr>
        <w:tc>
          <w:tcPr>
            <w:tcW w:type="dxa" w:w="3283"/>
            <w:vAlign w:val="center"/>
          </w:tcPr>
          <w:p>
            <w:pPr>
              <w:spacing w:after="80" w:before="80" w:line="252" w:lineRule="auto"/>
            </w:pPr>
            <w:r>
              <w:rPr>
                <w:rFonts w:ascii="Arial" w:hAnsi="Arial"/>
                <w:sz w:val="19"/>
              </w:rPr>
              <w:t>DeBERTa NLI</w:t>
            </w:r>
          </w:p>
        </w:tc>
        <w:tc>
          <w:tcPr>
            <w:tcW w:type="dxa" w:w="1584"/>
            <w:vAlign w:val="center"/>
          </w:tcPr>
          <w:p>
            <w:pPr>
              <w:spacing w:after="80" w:before="80" w:line="252" w:lineRule="auto"/>
            </w:pPr>
            <w:r>
              <w:rPr>
                <w:rFonts w:ascii="Arial" w:hAnsi="Arial"/>
                <w:sz w:val="19"/>
              </w:rPr>
              <w:t>42.5 / 38.4</w:t>
            </w:r>
          </w:p>
        </w:tc>
        <w:tc>
          <w:tcPr>
            <w:tcW w:type="dxa" w:w="2664"/>
            <w:vAlign w:val="center"/>
          </w:tcPr>
          <w:p>
            <w:pPr>
              <w:spacing w:after="80" w:before="80" w:line="252" w:lineRule="auto"/>
            </w:pPr>
            <w:r>
              <w:rPr>
                <w:rFonts w:ascii="Arial" w:hAnsi="Arial"/>
                <w:sz w:val="19"/>
              </w:rPr>
              <w:t>41.1 / 33.8</w:t>
            </w:r>
          </w:p>
        </w:tc>
        <w:tc>
          <w:tcPr>
            <w:tcW w:type="dxa" w:w="2189"/>
            <w:vAlign w:val="center"/>
          </w:tcPr>
          <w:p>
            <w:pPr>
              <w:spacing w:after="80" w:before="80" w:line="252" w:lineRule="auto"/>
            </w:pPr>
            <w:r>
              <w:rPr>
                <w:rFonts w:ascii="Arial" w:hAnsi="Arial"/>
                <w:sz w:val="19"/>
              </w:rPr>
              <w:t>42.5 / 32.3</w:t>
            </w:r>
          </w:p>
        </w:tc>
      </w:tr>
      <w:tr>
        <w:trPr>
          <w:cantSplit/>
        </w:trPr>
        <w:tc>
          <w:tcPr>
            <w:tcW w:type="dxa" w:w="3283"/>
            <w:vAlign w:val="center"/>
          </w:tcPr>
          <w:p>
            <w:pPr>
              <w:spacing w:after="80" w:before="80" w:line="252" w:lineRule="auto"/>
            </w:pPr>
            <w:r>
              <w:rPr>
                <w:rFonts w:ascii="Arial" w:hAnsi="Arial"/>
                <w:sz w:val="19"/>
              </w:rPr>
              <w:t>DeBERTa NLI + guard</w:t>
            </w:r>
          </w:p>
        </w:tc>
        <w:tc>
          <w:tcPr>
            <w:tcW w:type="dxa" w:w="1584"/>
            <w:vAlign w:val="center"/>
          </w:tcPr>
          <w:p>
            <w:pPr>
              <w:spacing w:after="80" w:before="80" w:line="252" w:lineRule="auto"/>
            </w:pPr>
            <w:r>
              <w:rPr>
                <w:rFonts w:ascii="Arial" w:hAnsi="Arial"/>
                <w:sz w:val="19"/>
              </w:rPr>
              <w:t>53.4 / 43.6</w:t>
            </w:r>
          </w:p>
        </w:tc>
        <w:tc>
          <w:tcPr>
            <w:tcW w:type="dxa" w:w="2664"/>
            <w:vAlign w:val="center"/>
          </w:tcPr>
          <w:p>
            <w:pPr>
              <w:spacing w:after="80" w:before="80" w:line="252" w:lineRule="auto"/>
            </w:pPr>
            <w:r>
              <w:rPr>
                <w:rFonts w:ascii="Arial" w:hAnsi="Arial"/>
                <w:sz w:val="19"/>
              </w:rPr>
              <w:t>52.1 / 39.2</w:t>
            </w:r>
          </w:p>
        </w:tc>
        <w:tc>
          <w:tcPr>
            <w:tcW w:type="dxa" w:w="2189"/>
            <w:vAlign w:val="center"/>
          </w:tcPr>
          <w:p>
            <w:pPr>
              <w:spacing w:after="80" w:before="80" w:line="252" w:lineRule="auto"/>
            </w:pPr>
            <w:r>
              <w:rPr>
                <w:rFonts w:ascii="Arial" w:hAnsi="Arial"/>
                <w:sz w:val="19"/>
              </w:rPr>
              <w:t>53.4 / 37.1</w:t>
            </w:r>
          </w:p>
        </w:tc>
      </w:tr>
      <w:tr>
        <w:trPr>
          <w:cantSplit/>
        </w:trPr>
        <w:tc>
          <w:tcPr>
            <w:tcW w:type="dxa" w:w="3283"/>
            <w:vAlign w:val="center"/>
          </w:tcPr>
          <w:p>
            <w:pPr>
              <w:spacing w:after="80" w:before="80" w:line="252" w:lineRule="auto"/>
            </w:pPr>
            <w:r>
              <w:rPr>
                <w:rFonts w:ascii="Arial" w:hAnsi="Arial"/>
                <w:sz w:val="19"/>
              </w:rPr>
              <w:t>Qwen 0.6B (ABC)</w:t>
            </w:r>
          </w:p>
        </w:tc>
        <w:tc>
          <w:tcPr>
            <w:tcW w:type="dxa" w:w="1584"/>
            <w:vAlign w:val="center"/>
          </w:tcPr>
          <w:p>
            <w:pPr>
              <w:spacing w:after="80" w:before="80" w:line="252" w:lineRule="auto"/>
            </w:pPr>
            <w:r>
              <w:rPr>
                <w:rFonts w:ascii="Arial" w:hAnsi="Arial"/>
                <w:sz w:val="19"/>
              </w:rPr>
              <w:t>31.5 / 33.3</w:t>
            </w:r>
          </w:p>
        </w:tc>
        <w:tc>
          <w:tcPr>
            <w:tcW w:type="dxa" w:w="2664"/>
            <w:vAlign w:val="center"/>
          </w:tcPr>
          <w:p>
            <w:pPr>
              <w:spacing w:after="80" w:before="80" w:line="252" w:lineRule="auto"/>
            </w:pPr>
            <w:r>
              <w:rPr>
                <w:rFonts w:ascii="Arial" w:hAnsi="Arial"/>
                <w:sz w:val="19"/>
              </w:rPr>
              <w:t>34.2 / 33.3</w:t>
            </w:r>
          </w:p>
        </w:tc>
        <w:tc>
          <w:tcPr>
            <w:tcW w:type="dxa" w:w="2189"/>
            <w:vAlign w:val="center"/>
          </w:tcPr>
          <w:p>
            <w:pPr>
              <w:spacing w:after="80" w:before="80" w:line="252" w:lineRule="auto"/>
            </w:pPr>
            <w:r>
              <w:rPr>
                <w:rFonts w:ascii="Arial" w:hAnsi="Arial"/>
                <w:sz w:val="19"/>
              </w:rPr>
              <w:t>28.8 / 33.3</w:t>
            </w:r>
          </w:p>
        </w:tc>
      </w:tr>
      <w:tr>
        <w:trPr>
          <w:cantSplit/>
        </w:trPr>
        <w:tc>
          <w:tcPr>
            <w:tcW w:type="dxa" w:w="3283"/>
            <w:vAlign w:val="center"/>
          </w:tcPr>
          <w:p>
            <w:pPr>
              <w:spacing w:after="80" w:before="80" w:line="252" w:lineRule="auto"/>
            </w:pPr>
            <w:r>
              <w:rPr>
                <w:rFonts w:ascii="Arial" w:hAnsi="Arial"/>
                <w:sz w:val="19"/>
              </w:rPr>
              <w:t>Qwen 0.6B + guard</w:t>
            </w:r>
          </w:p>
        </w:tc>
        <w:tc>
          <w:tcPr>
            <w:tcW w:type="dxa" w:w="1584"/>
            <w:vAlign w:val="center"/>
          </w:tcPr>
          <w:p>
            <w:pPr>
              <w:spacing w:after="80" w:before="80" w:line="252" w:lineRule="auto"/>
            </w:pPr>
            <w:r>
              <w:rPr>
                <w:rFonts w:ascii="Arial" w:hAnsi="Arial"/>
                <w:sz w:val="19"/>
              </w:rPr>
              <w:t>42.5 / 35.0</w:t>
            </w:r>
          </w:p>
        </w:tc>
        <w:tc>
          <w:tcPr>
            <w:tcW w:type="dxa" w:w="2664"/>
            <w:vAlign w:val="center"/>
          </w:tcPr>
          <w:p>
            <w:pPr>
              <w:spacing w:after="80" w:before="80" w:line="252" w:lineRule="auto"/>
            </w:pPr>
            <w:r>
              <w:rPr>
                <w:rFonts w:ascii="Arial" w:hAnsi="Arial"/>
                <w:sz w:val="19"/>
              </w:rPr>
              <w:t>45.2 / 35.9</w:t>
            </w:r>
          </w:p>
        </w:tc>
        <w:tc>
          <w:tcPr>
            <w:tcW w:type="dxa" w:w="2189"/>
            <w:vAlign w:val="center"/>
          </w:tcPr>
          <w:p>
            <w:pPr>
              <w:spacing w:after="80" w:before="80" w:line="252" w:lineRule="auto"/>
            </w:pPr>
            <w:r>
              <w:rPr>
                <w:rFonts w:ascii="Arial" w:hAnsi="Arial"/>
                <w:sz w:val="19"/>
              </w:rPr>
              <w:t>41.1 / 35.3</w:t>
            </w:r>
          </w:p>
        </w:tc>
      </w:tr>
      <w:tr>
        <w:trPr>
          <w:cantSplit/>
        </w:trPr>
        <w:tc>
          <w:tcPr>
            <w:tcW w:type="dxa" w:w="3283"/>
            <w:vAlign w:val="center"/>
          </w:tcPr>
          <w:p>
            <w:pPr>
              <w:spacing w:after="80" w:before="80" w:line="252" w:lineRule="auto"/>
            </w:pPr>
            <w:r>
              <w:rPr>
                <w:rFonts w:ascii="Arial" w:hAnsi="Arial"/>
                <w:sz w:val="19"/>
              </w:rPr>
              <w:t>Qwen 4B (ABC)</w:t>
            </w:r>
          </w:p>
        </w:tc>
        <w:tc>
          <w:tcPr>
            <w:tcW w:type="dxa" w:w="1584"/>
            <w:vAlign w:val="center"/>
          </w:tcPr>
          <w:p>
            <w:pPr>
              <w:spacing w:after="80" w:before="80" w:line="252" w:lineRule="auto"/>
            </w:pPr>
            <w:r>
              <w:rPr>
                <w:rFonts w:ascii="Arial" w:hAnsi="Arial"/>
                <w:sz w:val="19"/>
              </w:rPr>
              <w:t>38.4 / 52.7</w:t>
            </w:r>
          </w:p>
        </w:tc>
        <w:tc>
          <w:tcPr>
            <w:tcW w:type="dxa" w:w="2664"/>
            <w:vAlign w:val="center"/>
          </w:tcPr>
          <w:p>
            <w:pPr>
              <w:spacing w:after="80" w:before="80" w:line="252" w:lineRule="auto"/>
            </w:pPr>
            <w:r>
              <w:rPr>
                <w:rFonts w:ascii="Arial" w:hAnsi="Arial"/>
                <w:sz w:val="19"/>
              </w:rPr>
              <w:t>38.4 / 56.0</w:t>
            </w:r>
          </w:p>
        </w:tc>
        <w:tc>
          <w:tcPr>
            <w:tcW w:type="dxa" w:w="2189"/>
            <w:vAlign w:val="center"/>
          </w:tcPr>
          <w:p>
            <w:pPr>
              <w:spacing w:after="80" w:before="80" w:line="252" w:lineRule="auto"/>
            </w:pPr>
            <w:r>
              <w:rPr>
                <w:rFonts w:ascii="Arial" w:hAnsi="Arial"/>
                <w:sz w:val="19"/>
              </w:rPr>
              <w:t>37.0 / 53.7</w:t>
            </w:r>
          </w:p>
        </w:tc>
      </w:tr>
      <w:tr>
        <w:trPr>
          <w:cantSplit/>
        </w:trPr>
        <w:tc>
          <w:tcPr>
            <w:tcW w:type="dxa" w:w="3283"/>
            <w:vAlign w:val="center"/>
          </w:tcPr>
          <w:p>
            <w:pPr>
              <w:spacing w:after="80" w:before="80" w:line="252" w:lineRule="auto"/>
            </w:pPr>
            <w:r>
              <w:rPr>
                <w:rFonts w:ascii="Arial" w:hAnsi="Arial"/>
                <w:sz w:val="19"/>
              </w:rPr>
              <w:t>Qwen 4B + guard</w:t>
            </w:r>
          </w:p>
        </w:tc>
        <w:tc>
          <w:tcPr>
            <w:tcW w:type="dxa" w:w="1584"/>
            <w:vAlign w:val="center"/>
          </w:tcPr>
          <w:p>
            <w:pPr>
              <w:spacing w:after="80" w:before="80" w:line="252" w:lineRule="auto"/>
            </w:pPr>
            <w:r>
              <w:rPr>
                <w:rFonts w:ascii="Arial" w:hAnsi="Arial"/>
                <w:sz w:val="19"/>
              </w:rPr>
              <w:t>47.9 / 43.2</w:t>
            </w:r>
          </w:p>
        </w:tc>
        <w:tc>
          <w:tcPr>
            <w:tcW w:type="dxa" w:w="2664"/>
            <w:vAlign w:val="center"/>
          </w:tcPr>
          <w:p>
            <w:pPr>
              <w:spacing w:after="80" w:before="80" w:line="252" w:lineRule="auto"/>
            </w:pPr>
            <w:r>
              <w:rPr>
                <w:rFonts w:ascii="Arial" w:hAnsi="Arial"/>
                <w:sz w:val="19"/>
              </w:rPr>
              <w:t>46.6 / 42.5</w:t>
            </w:r>
          </w:p>
        </w:tc>
        <w:tc>
          <w:tcPr>
            <w:tcW w:type="dxa" w:w="2189"/>
            <w:vAlign w:val="center"/>
          </w:tcPr>
          <w:p>
            <w:pPr>
              <w:spacing w:after="80" w:before="80" w:line="252" w:lineRule="auto"/>
            </w:pPr>
            <w:r>
              <w:rPr>
                <w:rFonts w:ascii="Arial" w:hAnsi="Arial"/>
                <w:sz w:val="19"/>
              </w:rPr>
              <w:t>46.6 / 43.2</w:t>
            </w:r>
          </w:p>
        </w:tc>
      </w:tr>
      <w:tr>
        <w:trPr>
          <w:cantSplit/>
        </w:trPr>
        <w:tc>
          <w:tcPr>
            <w:tcW w:type="dxa" w:w="3283"/>
            <w:vAlign w:val="center"/>
          </w:tcPr>
          <w:p>
            <w:pPr>
              <w:spacing w:after="80" w:before="80" w:line="252" w:lineRule="auto"/>
            </w:pPr>
            <w:r>
              <w:rPr>
                <w:rFonts w:ascii="Arial" w:hAnsi="Arial"/>
                <w:sz w:val="19"/>
              </w:rPr>
              <w:t>Training-fold source majority</w:t>
            </w:r>
          </w:p>
        </w:tc>
        <w:tc>
          <w:tcPr>
            <w:tcW w:type="dxa" w:w="1584"/>
            <w:vAlign w:val="center"/>
          </w:tcPr>
          <w:p>
            <w:pPr>
              <w:spacing w:after="80" w:before="80" w:line="252" w:lineRule="auto"/>
            </w:pPr>
            <w:r>
              <w:rPr>
                <w:rFonts w:ascii="Arial" w:hAnsi="Arial"/>
                <w:sz w:val="19"/>
              </w:rPr>
              <w:t>24.7 / 36.5</w:t>
            </w:r>
          </w:p>
        </w:tc>
        <w:tc>
          <w:tcPr>
            <w:tcW w:type="dxa" w:w="2664"/>
            <w:vAlign w:val="center"/>
          </w:tcPr>
          <w:p>
            <w:pPr>
              <w:spacing w:after="80" w:before="80" w:line="252" w:lineRule="auto"/>
            </w:pPr>
            <w:r>
              <w:rPr>
                <w:rFonts w:ascii="Arial" w:hAnsi="Arial"/>
                <w:sz w:val="19"/>
              </w:rPr>
              <w:t>26.0 / 39.3</w:t>
            </w:r>
          </w:p>
        </w:tc>
        <w:tc>
          <w:tcPr>
            <w:tcW w:type="dxa" w:w="2189"/>
            <w:vAlign w:val="center"/>
          </w:tcPr>
          <w:p>
            <w:pPr>
              <w:spacing w:after="80" w:before="80" w:line="252" w:lineRule="auto"/>
            </w:pPr>
            <w:r>
              <w:rPr>
                <w:rFonts w:ascii="Arial" w:hAnsi="Arial"/>
                <w:sz w:val="19"/>
              </w:rPr>
              <w:t>23.3 / 37.1</w:t>
            </w:r>
          </w:p>
        </w:tc>
      </w:tr>
      <w:tr>
        <w:trPr>
          <w:cantSplit/>
        </w:trPr>
        <w:tc>
          <w:tcPr>
            <w:tcW w:type="dxa" w:w="3283"/>
            <w:vAlign w:val="center"/>
          </w:tcPr>
          <w:p>
            <w:pPr>
              <w:spacing w:after="80" w:before="80" w:line="252" w:lineRule="auto"/>
            </w:pPr>
            <w:r>
              <w:rPr>
                <w:rFonts w:ascii="Arial" w:hAnsi="Arial"/>
                <w:sz w:val="19"/>
              </w:rPr>
              <w:t>Always unknown</w:t>
            </w:r>
          </w:p>
        </w:tc>
        <w:tc>
          <w:tcPr>
            <w:tcW w:type="dxa" w:w="1584"/>
            <w:vAlign w:val="center"/>
          </w:tcPr>
          <w:p>
            <w:pPr>
              <w:spacing w:after="80" w:before="80" w:line="252" w:lineRule="auto"/>
            </w:pPr>
            <w:r>
              <w:rPr>
                <w:rFonts w:ascii="Arial" w:hAnsi="Arial"/>
                <w:sz w:val="19"/>
              </w:rPr>
              <w:t>61.6 / 33.3</w:t>
            </w:r>
          </w:p>
        </w:tc>
        <w:tc>
          <w:tcPr>
            <w:tcW w:type="dxa" w:w="2664"/>
            <w:vAlign w:val="center"/>
          </w:tcPr>
          <w:p>
            <w:pPr>
              <w:spacing w:after="80" w:before="80" w:line="252" w:lineRule="auto"/>
            </w:pPr>
            <w:r>
              <w:rPr>
                <w:rFonts w:ascii="Arial" w:hAnsi="Arial"/>
                <w:sz w:val="19"/>
              </w:rPr>
              <w:t>60.3 / 33.3</w:t>
            </w:r>
          </w:p>
        </w:tc>
        <w:tc>
          <w:tcPr>
            <w:tcW w:type="dxa" w:w="2189"/>
            <w:vAlign w:val="center"/>
          </w:tcPr>
          <w:p>
            <w:pPr>
              <w:spacing w:after="80" w:before="80" w:line="252" w:lineRule="auto"/>
            </w:pPr>
            <w:r>
              <w:rPr>
                <w:rFonts w:ascii="Arial" w:hAnsi="Arial"/>
                <w:sz w:val="19"/>
              </w:rPr>
              <w:t>64.4 / 33.3</w:t>
            </w:r>
          </w:p>
        </w:tc>
      </w:tr>
      <w:tr>
        <w:trPr>
          <w:cantSplit/>
        </w:trPr>
        <w:tc>
          <w:tcPr>
            <w:tcW w:type="dxa" w:w="3283"/>
            <w:vAlign w:val="center"/>
          </w:tcPr>
          <w:p>
            <w:pPr>
              <w:spacing w:after="80" w:before="80" w:line="252" w:lineRule="auto"/>
            </w:pPr>
            <w:r>
              <w:rPr>
                <w:rFonts w:ascii="Arial" w:hAnsi="Arial"/>
                <w:sz w:val="19"/>
              </w:rPr>
              <w:t>Qwen 0.6B (JSON)</w:t>
            </w:r>
          </w:p>
        </w:tc>
        <w:tc>
          <w:tcPr>
            <w:tcW w:type="dxa" w:w="1584"/>
            <w:vAlign w:val="center"/>
          </w:tcPr>
          <w:p>
            <w:pPr>
              <w:spacing w:after="80" w:before="80" w:line="252" w:lineRule="auto"/>
            </w:pPr>
            <w:r>
              <w:rPr>
                <w:rFonts w:ascii="Arial" w:hAnsi="Arial"/>
                <w:sz w:val="19"/>
              </w:rPr>
              <w:t>31.5 / 33.3</w:t>
            </w:r>
          </w:p>
        </w:tc>
        <w:tc>
          <w:tcPr>
            <w:tcW w:type="dxa" w:w="2664"/>
            <w:vAlign w:val="center"/>
          </w:tcPr>
          <w:p>
            <w:pPr>
              <w:spacing w:after="80" w:before="80" w:line="252" w:lineRule="auto"/>
            </w:pPr>
            <w:r>
              <w:rPr>
                <w:rFonts w:ascii="Arial" w:hAnsi="Arial"/>
                <w:sz w:val="19"/>
              </w:rPr>
              <w:t>34.2 / 33.3</w:t>
            </w:r>
          </w:p>
        </w:tc>
        <w:tc>
          <w:tcPr>
            <w:tcW w:type="dxa" w:w="2189"/>
            <w:vAlign w:val="center"/>
          </w:tcPr>
          <w:p>
            <w:pPr>
              <w:spacing w:after="80" w:before="80" w:line="252" w:lineRule="auto"/>
            </w:pPr>
            <w:r>
              <w:rPr>
                <w:rFonts w:ascii="Arial" w:hAnsi="Arial"/>
                <w:sz w:val="19"/>
              </w:rPr>
              <w:t>28.8 / 33.3</w:t>
            </w:r>
          </w:p>
        </w:tc>
      </w:tr>
      <w:tr>
        <w:trPr>
          <w:cantSplit/>
        </w:trPr>
        <w:tc>
          <w:tcPr>
            <w:tcW w:type="dxa" w:w="3283"/>
            <w:vAlign w:val="center"/>
          </w:tcPr>
          <w:p>
            <w:pPr>
              <w:spacing w:after="80" w:before="80" w:line="252" w:lineRule="auto"/>
            </w:pPr>
            <w:r>
              <w:rPr>
                <w:rFonts w:ascii="Arial" w:hAnsi="Arial"/>
                <w:sz w:val="19"/>
              </w:rPr>
              <w:t>Qwen 14B (ABC)</w:t>
            </w:r>
          </w:p>
        </w:tc>
        <w:tc>
          <w:tcPr>
            <w:tcW w:type="dxa" w:w="1584"/>
            <w:vAlign w:val="center"/>
          </w:tcPr>
          <w:p>
            <w:pPr>
              <w:spacing w:after="80" w:before="80" w:line="252" w:lineRule="auto"/>
            </w:pPr>
            <w:r>
              <w:rPr>
                <w:rFonts w:ascii="Arial" w:hAnsi="Arial"/>
                <w:sz w:val="19"/>
              </w:rPr>
              <w:t>32.9 / 60.9</w:t>
            </w:r>
          </w:p>
        </w:tc>
        <w:tc>
          <w:tcPr>
            <w:tcW w:type="dxa" w:w="2664"/>
            <w:vAlign w:val="center"/>
          </w:tcPr>
          <w:p>
            <w:pPr>
              <w:spacing w:after="80" w:before="80" w:line="252" w:lineRule="auto"/>
            </w:pPr>
            <w:r>
              <w:rPr>
                <w:rFonts w:ascii="Arial" w:hAnsi="Arial"/>
                <w:sz w:val="19"/>
              </w:rPr>
              <w:t>32.9 / 60.0</w:t>
            </w:r>
          </w:p>
        </w:tc>
        <w:tc>
          <w:tcPr>
            <w:tcW w:type="dxa" w:w="2189"/>
            <w:vAlign w:val="center"/>
          </w:tcPr>
          <w:p>
            <w:pPr>
              <w:spacing w:after="80" w:before="80" w:line="252" w:lineRule="auto"/>
            </w:pPr>
            <w:r>
              <w:rPr>
                <w:rFonts w:ascii="Arial" w:hAnsi="Arial"/>
                <w:sz w:val="19"/>
              </w:rPr>
              <w:t>28.8 / 53.7</w:t>
            </w:r>
          </w:p>
        </w:tc>
      </w:tr>
      <w:tr>
        <w:trPr>
          <w:cantSplit/>
        </w:trPr>
        <w:tc>
          <w:tcPr>
            <w:tcW w:type="dxa" w:w="3283"/>
            <w:vAlign w:val="center"/>
          </w:tcPr>
          <w:p>
            <w:pPr>
              <w:spacing w:after="80" w:before="80" w:line="252" w:lineRule="auto"/>
            </w:pPr>
            <w:r>
              <w:rPr>
                <w:rFonts w:ascii="Arial" w:hAnsi="Arial"/>
                <w:sz w:val="19"/>
              </w:rPr>
              <w:t>Qwen 14B (JSON)</w:t>
            </w:r>
          </w:p>
        </w:tc>
        <w:tc>
          <w:tcPr>
            <w:tcW w:type="dxa" w:w="1584"/>
            <w:vAlign w:val="center"/>
          </w:tcPr>
          <w:p>
            <w:pPr>
              <w:spacing w:after="80" w:before="80" w:line="252" w:lineRule="auto"/>
            </w:pPr>
            <w:r>
              <w:rPr>
                <w:rFonts w:ascii="Arial" w:hAnsi="Arial"/>
                <w:sz w:val="19"/>
              </w:rPr>
              <w:t>24.7 / 52.2</w:t>
            </w:r>
          </w:p>
        </w:tc>
        <w:tc>
          <w:tcPr>
            <w:tcW w:type="dxa" w:w="2664"/>
            <w:vAlign w:val="center"/>
          </w:tcPr>
          <w:p>
            <w:pPr>
              <w:spacing w:after="80" w:before="80" w:line="252" w:lineRule="auto"/>
            </w:pPr>
            <w:r>
              <w:rPr>
                <w:rFonts w:ascii="Arial" w:hAnsi="Arial"/>
                <w:sz w:val="19"/>
              </w:rPr>
              <w:t>24.7 / 52.0</w:t>
            </w:r>
          </w:p>
        </w:tc>
        <w:tc>
          <w:tcPr>
            <w:tcW w:type="dxa" w:w="2189"/>
            <w:vAlign w:val="center"/>
          </w:tcPr>
          <w:p>
            <w:pPr>
              <w:spacing w:after="80" w:before="80" w:line="252" w:lineRule="auto"/>
            </w:pPr>
            <w:r>
              <w:rPr>
                <w:rFonts w:ascii="Arial" w:hAnsi="Arial"/>
                <w:sz w:val="19"/>
              </w:rPr>
              <w:t>23.3 / 47.3</w:t>
            </w:r>
          </w:p>
        </w:tc>
      </w:tr>
      <w:tr>
        <w:trPr>
          <w:cantSplit/>
        </w:trPr>
        <w:tc>
          <w:tcPr>
            <w:tcW w:type="dxa" w:w="3283"/>
            <w:vAlign w:val="center"/>
          </w:tcPr>
          <w:p>
            <w:pPr>
              <w:spacing w:after="80" w:before="80" w:line="252" w:lineRule="auto"/>
            </w:pPr>
            <w:r>
              <w:rPr>
                <w:rFonts w:ascii="Arial" w:hAnsi="Arial"/>
                <w:sz w:val="19"/>
              </w:rPr>
              <w:t>Granite 8B (ABC)</w:t>
            </w:r>
          </w:p>
        </w:tc>
        <w:tc>
          <w:tcPr>
            <w:tcW w:type="dxa" w:w="1584"/>
            <w:vAlign w:val="center"/>
          </w:tcPr>
          <w:p>
            <w:pPr>
              <w:spacing w:after="80" w:before="80" w:line="252" w:lineRule="auto"/>
            </w:pPr>
            <w:r>
              <w:rPr>
                <w:rFonts w:ascii="Arial" w:hAnsi="Arial"/>
                <w:sz w:val="19"/>
              </w:rPr>
              <w:t>27.4 / 55.1</w:t>
            </w:r>
          </w:p>
        </w:tc>
        <w:tc>
          <w:tcPr>
            <w:tcW w:type="dxa" w:w="2664"/>
            <w:vAlign w:val="center"/>
          </w:tcPr>
          <w:p>
            <w:pPr>
              <w:spacing w:after="80" w:before="80" w:line="252" w:lineRule="auto"/>
            </w:pPr>
            <w:r>
              <w:rPr>
                <w:rFonts w:ascii="Arial" w:hAnsi="Arial"/>
                <w:sz w:val="19"/>
              </w:rPr>
              <w:t>26.0 / 53.3</w:t>
            </w:r>
          </w:p>
        </w:tc>
        <w:tc>
          <w:tcPr>
            <w:tcW w:type="dxa" w:w="2189"/>
            <w:vAlign w:val="center"/>
          </w:tcPr>
          <w:p>
            <w:pPr>
              <w:spacing w:after="80" w:before="80" w:line="252" w:lineRule="auto"/>
            </w:pPr>
            <w:r>
              <w:rPr>
                <w:rFonts w:ascii="Arial" w:hAnsi="Arial"/>
                <w:sz w:val="19"/>
              </w:rPr>
              <w:t>27.4 / 57.1</w:t>
            </w:r>
          </w:p>
        </w:tc>
      </w:tr>
      <w:tr>
        <w:trPr>
          <w:cantSplit/>
        </w:trPr>
        <w:tc>
          <w:tcPr>
            <w:tcW w:type="dxa" w:w="3283"/>
            <w:vAlign w:val="center"/>
          </w:tcPr>
          <w:p>
            <w:pPr>
              <w:spacing w:after="80" w:before="80" w:line="252" w:lineRule="auto"/>
            </w:pPr>
            <w:r>
              <w:rPr>
                <w:rFonts w:ascii="Arial" w:hAnsi="Arial"/>
                <w:sz w:val="19"/>
              </w:rPr>
              <w:t>Granite 8B (JSON)</w:t>
            </w:r>
          </w:p>
        </w:tc>
        <w:tc>
          <w:tcPr>
            <w:tcW w:type="dxa" w:w="1584"/>
            <w:vAlign w:val="center"/>
          </w:tcPr>
          <w:p>
            <w:pPr>
              <w:spacing w:after="80" w:before="80" w:line="252" w:lineRule="auto"/>
            </w:pPr>
            <w:r>
              <w:rPr>
                <w:rFonts w:ascii="Arial" w:hAnsi="Arial"/>
                <w:sz w:val="19"/>
              </w:rPr>
              <w:t>21.9 / 44.1</w:t>
            </w:r>
          </w:p>
        </w:tc>
        <w:tc>
          <w:tcPr>
            <w:tcW w:type="dxa" w:w="2664"/>
            <w:vAlign w:val="center"/>
          </w:tcPr>
          <w:p>
            <w:pPr>
              <w:spacing w:after="80" w:before="80" w:line="252" w:lineRule="auto"/>
            </w:pPr>
            <w:r>
              <w:rPr>
                <w:rFonts w:ascii="Arial" w:hAnsi="Arial"/>
                <w:sz w:val="19"/>
              </w:rPr>
              <w:t>21.9 / 49.3</w:t>
            </w:r>
          </w:p>
        </w:tc>
        <w:tc>
          <w:tcPr>
            <w:tcW w:type="dxa" w:w="2189"/>
            <w:vAlign w:val="center"/>
          </w:tcPr>
          <w:p>
            <w:pPr>
              <w:spacing w:after="80" w:before="80" w:line="252" w:lineRule="auto"/>
            </w:pPr>
            <w:r>
              <w:rPr>
                <w:rFonts w:ascii="Arial" w:hAnsi="Arial"/>
                <w:sz w:val="19"/>
              </w:rPr>
              <w:t>23.3 / 52.4</w:t>
            </w:r>
          </w:p>
        </w:tc>
      </w:tr>
      <w:tr>
        <w:trPr>
          <w:cantSplit/>
        </w:trPr>
        <w:tc>
          <w:tcPr>
            <w:tcW w:type="dxa" w:w="3283"/>
            <w:vAlign w:val="center"/>
          </w:tcPr>
          <w:p>
            <w:pPr>
              <w:spacing w:after="80" w:before="80" w:line="252" w:lineRule="auto"/>
            </w:pPr>
            <w:r>
              <w:rPr>
                <w:rFonts w:ascii="Arial" w:hAnsi="Arial"/>
                <w:sz w:val="19"/>
              </w:rPr>
              <w:t>Granite 8B (decomposition)</w:t>
            </w:r>
          </w:p>
        </w:tc>
        <w:tc>
          <w:tcPr>
            <w:tcW w:type="dxa" w:w="1584"/>
            <w:vAlign w:val="center"/>
          </w:tcPr>
          <w:p>
            <w:pPr>
              <w:spacing w:after="80" w:before="80" w:line="252" w:lineRule="auto"/>
            </w:pPr>
            <w:r>
              <w:rPr>
                <w:rFonts w:ascii="Arial" w:hAnsi="Arial"/>
                <w:sz w:val="19"/>
              </w:rPr>
              <w:t>6.8 / 9.6</w:t>
            </w:r>
          </w:p>
        </w:tc>
        <w:tc>
          <w:tcPr>
            <w:tcW w:type="dxa" w:w="2664"/>
            <w:vAlign w:val="center"/>
          </w:tcPr>
          <w:p>
            <w:pPr>
              <w:spacing w:after="80" w:before="80" w:line="252" w:lineRule="auto"/>
            </w:pPr>
            <w:r>
              <w:rPr>
                <w:rFonts w:ascii="Arial" w:hAnsi="Arial"/>
                <w:sz w:val="19"/>
              </w:rPr>
              <w:t>5.5 / 10.6</w:t>
            </w:r>
          </w:p>
        </w:tc>
        <w:tc>
          <w:tcPr>
            <w:tcW w:type="dxa" w:w="2189"/>
            <w:vAlign w:val="center"/>
          </w:tcPr>
          <w:p>
            <w:pPr>
              <w:spacing w:after="80" w:before="80" w:line="252" w:lineRule="auto"/>
            </w:pPr>
            <w:r>
              <w:rPr>
                <w:rFonts w:ascii="Arial" w:hAnsi="Arial"/>
                <w:sz w:val="19"/>
              </w:rPr>
              <w:t>5.5 / 8.8</w:t>
            </w:r>
          </w:p>
        </w:tc>
      </w:tr>
      <w:tr>
        <w:trPr>
          <w:cantSplit/>
        </w:trPr>
        <w:tc>
          <w:tcPr>
            <w:tcW w:type="dxa" w:w="3283"/>
            <w:vAlign w:val="center"/>
          </w:tcPr>
          <w:p>
            <w:pPr>
              <w:spacing w:after="80" w:before="80" w:line="252" w:lineRule="auto"/>
            </w:pPr>
            <w:r>
              <w:rPr>
                <w:rFonts w:ascii="Arial" w:hAnsi="Arial"/>
                <w:sz w:val="19"/>
              </w:rPr>
              <w:t>Granite 8B (facts only ABC)</w:t>
            </w:r>
          </w:p>
        </w:tc>
        <w:tc>
          <w:tcPr>
            <w:tcW w:type="dxa" w:w="1584"/>
            <w:vAlign w:val="center"/>
          </w:tcPr>
          <w:p>
            <w:pPr>
              <w:spacing w:after="80" w:before="80" w:line="252" w:lineRule="auto"/>
            </w:pPr>
            <w:r>
              <w:rPr>
                <w:rFonts w:ascii="Arial" w:hAnsi="Arial"/>
                <w:sz w:val="19"/>
              </w:rPr>
              <w:t>37.0 / 47.7</w:t>
            </w:r>
          </w:p>
        </w:tc>
        <w:tc>
          <w:tcPr>
            <w:tcW w:type="dxa" w:w="2664"/>
            <w:vAlign w:val="center"/>
          </w:tcPr>
          <w:p>
            <w:pPr>
              <w:spacing w:after="80" w:before="80" w:line="252" w:lineRule="auto"/>
            </w:pPr>
            <w:r>
              <w:rPr>
                <w:rFonts w:ascii="Arial" w:hAnsi="Arial"/>
                <w:sz w:val="19"/>
              </w:rPr>
              <w:t>35.6 / 43.5</w:t>
            </w:r>
          </w:p>
        </w:tc>
        <w:tc>
          <w:tcPr>
            <w:tcW w:type="dxa" w:w="2189"/>
            <w:vAlign w:val="center"/>
          </w:tcPr>
          <w:p>
            <w:pPr>
              <w:spacing w:after="80" w:before="80" w:line="252" w:lineRule="auto"/>
            </w:pPr>
            <w:r>
              <w:rPr>
                <w:rFonts w:ascii="Arial" w:hAnsi="Arial"/>
                <w:sz w:val="19"/>
              </w:rPr>
              <w:t>34.2 / 41.1</w:t>
            </w:r>
          </w:p>
        </w:tc>
      </w:tr>
      <w:tr>
        <w:trPr>
          <w:cantSplit/>
        </w:trPr>
        <w:tc>
          <w:tcPr>
            <w:tcW w:type="dxa" w:w="3283"/>
            <w:vAlign w:val="center"/>
          </w:tcPr>
          <w:p>
            <w:pPr>
              <w:spacing w:after="80" w:before="80" w:line="252" w:lineRule="auto"/>
            </w:pPr>
            <w:r>
              <w:rPr>
                <w:rFonts w:ascii="Arial" w:hAnsi="Arial"/>
                <w:sz w:val="19"/>
              </w:rPr>
              <w:t>Granite 8B (rules only ABC)</w:t>
            </w:r>
          </w:p>
        </w:tc>
        <w:tc>
          <w:tcPr>
            <w:tcW w:type="dxa" w:w="1584"/>
            <w:vAlign w:val="center"/>
          </w:tcPr>
          <w:p>
            <w:pPr>
              <w:spacing w:after="80" w:before="80" w:line="252" w:lineRule="auto"/>
            </w:pPr>
            <w:r>
              <w:rPr>
                <w:rFonts w:ascii="Arial" w:hAnsi="Arial"/>
                <w:sz w:val="19"/>
              </w:rPr>
              <w:t>16.4 / 36.8</w:t>
            </w:r>
          </w:p>
        </w:tc>
        <w:tc>
          <w:tcPr>
            <w:tcW w:type="dxa" w:w="2664"/>
            <w:vAlign w:val="center"/>
          </w:tcPr>
          <w:p>
            <w:pPr>
              <w:spacing w:after="80" w:before="80" w:line="252" w:lineRule="auto"/>
            </w:pPr>
            <w:r>
              <w:rPr>
                <w:rFonts w:ascii="Arial" w:hAnsi="Arial"/>
                <w:sz w:val="19"/>
              </w:rPr>
              <w:t>13.7 / 33.2</w:t>
            </w:r>
          </w:p>
        </w:tc>
        <w:tc>
          <w:tcPr>
            <w:tcW w:type="dxa" w:w="2189"/>
            <w:vAlign w:val="center"/>
          </w:tcPr>
          <w:p>
            <w:pPr>
              <w:spacing w:after="80" w:before="80" w:line="252" w:lineRule="auto"/>
            </w:pPr>
            <w:r>
              <w:rPr>
                <w:rFonts w:ascii="Arial" w:hAnsi="Arial"/>
                <w:sz w:val="19"/>
              </w:rPr>
              <w:t>13.7 / 29.4</w:t>
            </w:r>
          </w:p>
        </w:tc>
      </w:tr>
    </w:tbl>
    <w:p>
      <w:pPr>
        <w:spacing w:after="20"/>
      </w:pPr>
    </w:p>
    <w:p>
      <w:r>
        <w:t>All three versions contain the same 73 IDs. Their supported/refuted/unknown counts are 23/5/45, 25/4/44 and 21/5/47, respectively. Predictions are held fixed; no model is retrained, no version is selected by its score, and no bootstrap is added for this descriptive comparison. The second pass is a case-level review, not a second complete condition-span annotation. These are same-lineage AI readings and an operational reconciliation, not independent gold standards. Invalid predictions remain incorrect. NLI and input-removal controls retain their actual inputs while all three reference versions concern complete retained text.</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subject/>
  <dc:creator/>
  <cp:keywords/>
  <dc:description/>
  <cp:lastModifiedBy/>
  <cp:revision>1</cp:revision>
  <dcterms:created xsi:type="dcterms:W3CDTF">2013-12-23T23:15:00Z</dcterms:created>
  <dcterms:modified xsi:type="dcterms:W3CDTF">2013-12-23T23:15:00Z</dcterms:modified>
  <cp:category/>
</cp:coreProperties>
</file>