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Baskerville" w:hAnsi="Baskerville"/>
          <w:b w:val="0"/>
          <w:i w:val="0"/>
          <w:color w:val="111B30"/>
          <w:sz w:val="48"/>
        </w:rPr>
        <w:t>William Blair</w:t>
      </w:r>
    </w:p>
    <w:p>
      <w:pPr>
        <w:keepNext/>
        <w:spacing w:before="0" w:after="160" w:line="240" w:lineRule="auto"/>
      </w:pPr>
      <w:r>
        <w:rPr>
          <w:rFonts w:ascii="Baskerville" w:hAnsi="Baskerville"/>
          <w:b w:val="0"/>
          <w:i/>
          <w:color w:val="3F5068"/>
          <w:sz w:val="21"/>
        </w:rPr>
        <w:t>Work, research, publications, and awards.</w:t>
      </w:r>
    </w:p>
    <w:p>
      <w:pPr>
        <w:keepNext/>
        <w:spacing w:before="0" w:after="240" w:line="240" w:lineRule="auto"/>
        <w:pBdr>
          <w:bottom w:val="single" w:sz="5" w:space="6" w:color="D8CEB5"/>
        </w:pBdr>
      </w:pPr>
      <w:hyperlink r:id="rId9">
        <w:r>
          <w:rPr>
            <w:rFonts w:ascii="Baskerville" w:hAnsi="Baskerville"/>
            <w:color w:val="9A7A3E"/>
            <w:sz w:val="21"/>
            <w:u w:val="none"/>
          </w:rPr>
          <w:t>william.blair0708@gmail.com</w:t>
        </w:r>
      </w:hyperlink>
    </w:p>
    <w:p>
      <w:pPr>
        <w:keepNext/>
        <w:spacing w:before="40" w:after="100" w:line="240" w:lineRule="auto"/>
        <w:pBdr>
          <w:bottom w:val="single" w:sz="3" w:space="6" w:color="D8CEB5"/>
        </w:pBdr>
      </w:pPr>
      <w:r>
        <w:rPr>
          <w:rFonts w:ascii="Baskerville" w:hAnsi="Baskerville"/>
          <w:b w:val="0"/>
          <w:i w:val="0"/>
          <w:color w:val="111B30"/>
          <w:sz w:val="25"/>
        </w:rPr>
        <w:t>Work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Episteme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2025 — Present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Episteme Fellow · San Francisco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A privately funded Bell Labs–style research organization, around fifteen scientists working across neuroscience, advanced materials, energy, and compute. I design and build Atlas, the in-house researcher intelligence platform the lab uses to map talent, evidence, and direction across those pillars. I own it end to end: data model, ingest, LLM-driven extraction over open scientific corpora, and the product surface scientists use day to day.</w:t>
      </w:r>
    </w:p>
    <w:p>
      <w:pPr>
        <w:keepNext/>
        <w:spacing w:before="70" w:after="16" w:line="240" w:lineRule="auto"/>
      </w:pPr>
      <w:hyperlink r:id="rId10">
        <w:r>
          <w:rPr>
            <w:rFonts w:ascii="Baskerville" w:hAnsi="Baskerville"/>
            <w:color w:val="111B30"/>
            <w:sz w:val="21"/>
            <w:u w:val="none"/>
          </w:rPr>
          <w:t>Aaru</w:t>
        </w:r>
      </w:hyperlink>
      <w:r>
        <w:rPr>
          <w:rFonts w:ascii="Baskerville" w:hAnsi="Baskerville"/>
          <w:b w:val="0"/>
          <w:i w:val="0"/>
          <w:color w:val="9A7A3E"/>
          <w:sz w:val="16"/>
        </w:rPr>
        <w:t xml:space="preserve">    2024 — 2025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Founding Engineer · New York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Large-scale AI-agent simulation for consulting, politics, and government. Built the core platform with the CTO: the agent simulation runtime, synthetic audience generation, benchmarking and observability tooling, and the customer-facing web app. The synthetic-audience pipeline I shipped was used in every customer engagement.</w:t>
      </w:r>
    </w:p>
    <w:p>
      <w:pPr>
        <w:keepNext/>
        <w:spacing w:before="70" w:after="16" w:line="240" w:lineRule="auto"/>
      </w:pPr>
      <w:hyperlink r:id="rId11">
        <w:r>
          <w:rPr>
            <w:rFonts w:ascii="Baskerville" w:hAnsi="Baskerville"/>
            <w:color w:val="111B30"/>
            <w:sz w:val="21"/>
            <w:u w:val="none"/>
          </w:rPr>
          <w:t>Biogenesis</w:t>
        </w:r>
      </w:hyperlink>
      <w:r>
        <w:rPr>
          <w:rFonts w:ascii="Baskerville" w:hAnsi="Baskerville"/>
          <w:b w:val="0"/>
          <w:i w:val="0"/>
          <w:color w:val="9A7A3E"/>
          <w:sz w:val="16"/>
        </w:rPr>
        <w:t xml:space="preserve">    2023 — 2024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Co-Founder &amp; COO · Palo Alto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End-to-end clinical trials platform, incubated as Engineer in Residence at Kleiner Perkins. Built the platform from scratch and hired a team of seven. Raised $2.5M led by Jack Altman, with Kleiner Perkins and Fairchild. Stood up partnerships with small and mid-sized biotech across 250+ clinics.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ThermoBeat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2019 — 2023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Founder &amp; CEO · Baltimore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Thermoelectrics for implantable medical devices. Developed a thermoelectric generator and boost-converter system that runs under a 2 °C gradient and produces 3.3 V, enough to power a pacemaker from body heat. Raised $300K+ in non-dilutive funding across NSF I-Corps, NIBIB DEBUT, JHU Spark, and the JHU FUEL Grand Prize. Supervised by Dr. Andreas Andreou.</w:t>
      </w:r>
    </w:p>
    <w:p>
      <w:pPr>
        <w:keepNext/>
        <w:spacing w:before="160" w:after="100" w:line="240" w:lineRule="auto"/>
        <w:pBdr>
          <w:bottom w:val="single" w:sz="3" w:space="6" w:color="D8CEB5"/>
        </w:pBdr>
      </w:pPr>
      <w:r>
        <w:rPr>
          <w:rFonts w:ascii="Baskerville" w:hAnsi="Baskerville"/>
          <w:b w:val="0"/>
          <w:i w:val="0"/>
          <w:color w:val="111B30"/>
          <w:sz w:val="25"/>
        </w:rPr>
        <w:t>Independent</w:t>
      </w:r>
    </w:p>
    <w:p>
      <w:pPr>
        <w:keepNext/>
        <w:spacing w:before="70" w:after="16" w:line="240" w:lineRule="auto"/>
      </w:pPr>
      <w:hyperlink r:id="rId12">
        <w:r>
          <w:rPr>
            <w:rFonts w:ascii="Baskerville" w:hAnsi="Baskerville"/>
            <w:color w:val="111B30"/>
            <w:sz w:val="21"/>
            <w:u w:val="none"/>
          </w:rPr>
          <w:t>Borrowed Light</w:t>
        </w:r>
      </w:hyperlink>
      <w:r>
        <w:rPr>
          <w:rFonts w:ascii="Baskerville" w:hAnsi="Baskerville"/>
          <w:b w:val="0"/>
          <w:i w:val="0"/>
          <w:color w:val="9A7A3E"/>
          <w:sz w:val="16"/>
        </w:rPr>
        <w:t xml:space="preserve">    2025 — Present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Open infrastructure for scientific knowledge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Built independently of any employer. Encompasses Vela, a git-native protocol that turns scientific papers into structured, linked, correctable findings, with a working Rust reference implementation and an MCP server for agent reasoning over compiled state; the lead essay Constellations of Borrowed Light; and an open-source Obsidian theme carrying the same visual identity. Open spec, Apache-2.0 implementation.</w:t>
      </w:r>
    </w:p>
    <w:p>
      <w:pPr>
        <w:keepNext/>
        <w:spacing w:before="160" w:after="100" w:line="240" w:lineRule="auto"/>
        <w:pBdr>
          <w:bottom w:val="single" w:sz="3" w:space="6" w:color="D8CEB5"/>
        </w:pBdr>
      </w:pPr>
      <w:r>
        <w:rPr>
          <w:rFonts w:ascii="Baskerville" w:hAnsi="Baskerville"/>
          <w:b w:val="0"/>
          <w:i w:val="0"/>
          <w:color w:val="111B30"/>
          <w:sz w:val="25"/>
        </w:rPr>
        <w:t>Education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Johns Hopkins University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2019 — 2023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B.S. Honors, Cognitive Science; minor in Entrepreneurship · GPA 3.8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Upper Canada College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2015 — 2019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International Baccalaureate Diploma · Lang Scholar, one of ten across the school</w:t>
      </w:r>
    </w:p>
    <w:p>
      <w:pPr>
        <w:keepNext/>
        <w:spacing w:before="160" w:after="100" w:line="240" w:lineRule="auto"/>
        <w:pBdr>
          <w:bottom w:val="single" w:sz="3" w:space="6" w:color="D8CEB5"/>
        </w:pBdr>
      </w:pPr>
      <w:r>
        <w:rPr>
          <w:rFonts w:ascii="Baskerville" w:hAnsi="Baskerville"/>
          <w:b w:val="0"/>
          <w:i w:val="0"/>
          <w:color w:val="111B30"/>
          <w:sz w:val="25"/>
        </w:rPr>
        <w:t>Publications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Emerging targets of α-synuclein spreading in α-synucleinopathies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2025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Kuo G, Kumbhar R, Blair W, Dawson V, Dawson T, Mao X · Molecular Neurodegeneration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A review of mechanistic pathways and interventions.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Optimizing a hyaluronic acid–based hydrogel for delivery of neural progenitor cells for ischemic stroke treatment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2022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Blair W, Letko-Khait N, Shoichet M · Nature Technologies for Neuroengineering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Evaluation of 5-aminolevulinic acid–induced fluorescence during breast cancer surgery with a handheld prototype imaging device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2019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Gibson C, Ottolino-Perry K, et al., incl. Blair W · World Molecular Imaging Congress</w:t>
      </w:r>
    </w:p>
    <w:p>
      <w:pPr>
        <w:keepNext/>
        <w:spacing w:before="160" w:after="100" w:line="240" w:lineRule="auto"/>
        <w:pBdr>
          <w:bottom w:val="single" w:sz="3" w:space="6" w:color="D8CEB5"/>
        </w:pBdr>
      </w:pPr>
      <w:r>
        <w:rPr>
          <w:rFonts w:ascii="Baskerville" w:hAnsi="Baskerville"/>
          <w:b w:val="0"/>
          <w:i w:val="0"/>
          <w:color w:val="111B30"/>
          <w:sz w:val="25"/>
        </w:rPr>
        <w:t>Research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Johns Hopkins University, Biomedical Engineering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2022 — 2023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Advisors: Xiaobo Mao, Ph.D. and Ram Kumbhar, Ph.D.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Methods to inhibit PARP-1 activation in Parkinson’s disease.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University of Toronto, Chemical Engineering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2022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Advisors: Molly Shoichet, Ph.D. and Nitzan Letko-Khait, Ph.D.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Hyaluronic acid hydrogels for delivery of neural progenitor cells in ischemic stroke.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Johns Hopkins University, Division of Neurosurgery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2021 — 2022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Advisor: Youssef Salimpour, Ph.D.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Novel neuromodulation techniques for epilepsy and Parkinson’s.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University of Toronto, Medical Biophysics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2019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Advisor: Ralph DaCosta, Ph.D.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Handheld fluorescence imaging device for breast cancer visualization.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McMaster Children’s Hospital, Infectious Disease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2018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Advisor: Jeffrey Pernica, M.D. FRCPC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BALANCE-Kids: duration of antimicrobial therapy for bacteremia in pediatric patients.</w:t>
      </w:r>
    </w:p>
    <w:p>
      <w:pPr>
        <w:keepNext/>
        <w:spacing w:before="160" w:after="100" w:line="240" w:lineRule="auto"/>
        <w:pBdr>
          <w:bottom w:val="single" w:sz="3" w:space="6" w:color="D8CEB5"/>
        </w:pBdr>
      </w:pPr>
      <w:r>
        <w:rPr>
          <w:rFonts w:ascii="Baskerville" w:hAnsi="Baskerville"/>
          <w:b w:val="0"/>
          <w:i w:val="0"/>
          <w:color w:val="111B30"/>
          <w:sz w:val="25"/>
        </w:rPr>
        <w:t>Fellowships &amp; Awards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Z Fellows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2024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Kleiner Perkins Fellowship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2023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JHU FUEL Grand Prize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2023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$25,000 · Founder, ThermoBeat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NSERC USRA &amp; PROMOTE Grant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2022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$10,000 · PI, University of Toronto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NSERC CREATE Fellowship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2022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Sigma Squared Fellowship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2022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NIBIB DEBUT Grant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2021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$5,000 · PI, ThermoBeat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NSF Regional I-Corps Grant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2021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$5,000 · PI, ThermoBeat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Hamilton Health Sciences Research Bursary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2018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$10,000 · Infectious disease research</w:t>
      </w:r>
    </w:p>
    <w:p>
      <w:pPr>
        <w:keepNext/>
        <w:spacing w:before="160" w:after="100" w:line="240" w:lineRule="auto"/>
        <w:pBdr>
          <w:bottom w:val="single" w:sz="3" w:space="6" w:color="D8CEB5"/>
        </w:pBdr>
      </w:pPr>
      <w:r>
        <w:rPr>
          <w:rFonts w:ascii="Baskerville" w:hAnsi="Baskerville"/>
          <w:b w:val="0"/>
          <w:i w:val="0"/>
          <w:color w:val="111B30"/>
          <w:sz w:val="25"/>
        </w:rPr>
        <w:t>Service &amp; Teaching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Charm City Science League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2022 — 2023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President · Baltimore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Science Olympiad mentoring for Baltimore students, 100+ mentors across 20 schools. Managed a $30K annual budget and led a 14-person executive board.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JHU Student Advisory Board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2022 — 2023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President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Biweekly meetings with university leadership on first-year orientation, housing, and student mental health.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JHU News-Letter, Sci-Tech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2021 — 2022</w:t>
      </w:r>
    </w:p>
    <w:p>
      <w:pPr>
        <w:keepNext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Editor</w:t>
      </w:r>
    </w:p>
    <w:p>
      <w:pPr>
        <w:keepNext w:val="0"/>
        <w:spacing w:before="0" w:after="50" w:line="259" w:lineRule="auto"/>
      </w:pPr>
      <w:r>
        <w:rPr>
          <w:rFonts w:ascii="Baskerville" w:hAnsi="Baskerville"/>
          <w:b w:val="0"/>
          <w:i w:val="0"/>
          <w:color w:val="3F5068"/>
          <w:sz w:val="18"/>
        </w:rPr>
        <w:t>Led 20+ writers at roughly seven articles a week. Authored 25+ pieces on science and technology.</w:t>
      </w:r>
    </w:p>
    <w:p>
      <w:pPr>
        <w:keepNext/>
        <w:spacing w:before="70" w:after="16" w:line="240" w:lineRule="auto"/>
      </w:pPr>
      <w:r>
        <w:rPr>
          <w:rFonts w:ascii="Baskerville" w:hAnsi="Baskerville"/>
          <w:b w:val="0"/>
          <w:i w:val="0"/>
          <w:color w:val="111B30"/>
          <w:sz w:val="21"/>
        </w:rPr>
        <w:t>Johns Hopkins University, Krieger School</w:t>
      </w:r>
      <w:r>
        <w:rPr>
          <w:rFonts w:ascii="Baskerville" w:hAnsi="Baskerville"/>
          <w:b w:val="0"/>
          <w:i w:val="0"/>
          <w:color w:val="9A7A3E"/>
          <w:sz w:val="16"/>
        </w:rPr>
        <w:t xml:space="preserve">    2021 — 2023</w:t>
      </w:r>
    </w:p>
    <w:p>
      <w:pPr>
        <w:keepNext w:val="0"/>
        <w:spacing w:before="0" w:after="16" w:line="240" w:lineRule="auto"/>
      </w:pPr>
      <w:r>
        <w:rPr>
          <w:rFonts w:ascii="Baskerville" w:hAnsi="Baskerville"/>
          <w:b w:val="0"/>
          <w:i/>
          <w:color w:val="3F5068"/>
          <w:sz w:val="18"/>
        </w:rPr>
        <w:t>Teaching Assistant, Leading Change (Entrepreneurship &amp; Management)</w:t>
      </w:r>
    </w:p>
    <w:p>
      <w:pPr>
        <w:keepNext/>
        <w:spacing w:before="160" w:after="100" w:line="240" w:lineRule="auto"/>
        <w:pBdr>
          <w:bottom w:val="single" w:sz="3" w:space="6" w:color="D8CEB5"/>
        </w:pBdr>
      </w:pPr>
      <w:r>
        <w:rPr>
          <w:rFonts w:ascii="Baskerville" w:hAnsi="Baskerville"/>
          <w:b w:val="0"/>
          <w:i w:val="0"/>
          <w:color w:val="111B30"/>
          <w:sz w:val="25"/>
        </w:rPr>
        <w:t>Contact</w:t>
      </w:r>
    </w:p>
    <w:p>
      <w:pPr>
        <w:keepNext/>
        <w:spacing w:before="70" w:after="16" w:line="240" w:lineRule="auto"/>
      </w:pPr>
      <w:hyperlink r:id="rId9">
        <w:r>
          <w:rPr>
            <w:rFonts w:ascii="Baskerville" w:hAnsi="Baskerville"/>
            <w:color w:val="111B30"/>
            <w:sz w:val="21"/>
            <w:u w:val="none"/>
          </w:rPr>
          <w:t>william.blair0708@gmail.com</w:t>
        </w:r>
      </w:hyperlink>
    </w:p>
    <w:sectPr w:rsidR="00FC693F" w:rsidRPr="0006063C" w:rsidSect="00034616">
      <w:footerReference w:type="default" r:id="rId13"/>
      <w:pgSz w:w="12240" w:h="15840"/>
      <w:pgMar w:top="979" w:right="1123" w:bottom="893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Baskerville" w:hAnsi="Baskerville"/>
        <w:b w:val="0"/>
        <w:i w:val="0"/>
        <w:color w:val="9A7A3E"/>
        <w:sz w:val="16"/>
      </w:rPr>
      <w:t>William Blair ·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Baskerville" w:hAnsi="Baskerville"/>
      <w:color w:val="3F506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.blair0708@gmail.com" TargetMode="External"/><Relationship Id="rId10" Type="http://schemas.openxmlformats.org/officeDocument/2006/relationships/hyperlink" Target="https://www.aaru.com" TargetMode="External"/><Relationship Id="rId11" Type="http://schemas.openxmlformats.org/officeDocument/2006/relationships/hyperlink" Target="https://www.mybiogenesis.com" TargetMode="External"/><Relationship Id="rId12" Type="http://schemas.openxmlformats.org/officeDocument/2006/relationships/hyperlink" Target="https://borrowedlight.org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Blair CV</dc:title>
  <dc:subject>Work, research, publications, and awards.</dc:subject>
  <dc:creator>William Blair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