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 Unicode MS"/>
          <w:b w:val="0"/>
          <w:color w:val="000000"/>
          <w:sz w:val="40"/>
        </w:rPr>
        <w:t>ContextRail Hero Demo：工程決策報告包</w:t>
      </w:r>
    </w:p>
    <w:p>
      <w:pPr>
        <w:spacing w:after="60"/>
        <w:ind w:left="216" w:right="115"/>
        <w:shd w:fill="EAF1F8"/>
      </w:pPr>
      <w:r>
        <w:rPr>
          <w:rFonts w:ascii="Arial" w:hAnsi="Arial" w:eastAsia="Arial Unicode MS"/>
          <w:b/>
          <w:color w:val="000000"/>
          <w:sz w:val="17"/>
        </w:rPr>
        <w:t>示例資料／非真實部署證據</w:t>
      </w:r>
    </w:p>
    <w:p>
      <w:pPr>
        <w:spacing w:after="60"/>
        <w:ind w:left="216" w:right="115"/>
        <w:shd w:fill="EAF1F8"/>
      </w:pPr>
      <w:r>
        <w:rPr>
          <w:rFonts w:ascii="Arial" w:hAnsi="Arial" w:eastAsia="Arial Unicode MS"/>
          <w:b/>
          <w:color w:val="000000"/>
          <w:sz w:val="17"/>
        </w:rPr>
        <w:t>這份文件是用來展示 ContextRail 的報告產出，不代表目前已經連到真實專案、Cloud Run、Cloud Build 或企業內部文件。所有 commit、digest、hash、成本與測試狀態均為 fixture，不能用來宣稱已完成部署或已通過 production gate。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這份報告要回答什麼</w:t>
      </w:r>
    </w:p>
    <w:p>
      <w:r>
        <w:rPr>
          <w:rFonts w:ascii="Arial" w:hAnsi="Arial" w:eastAsia="Arial Unicode MS"/>
          <w:b w:val="0"/>
          <w:color w:val="000000"/>
          <w:sz w:val="18"/>
        </w:rPr>
        <w:t>同一個變更不應該只產生一段 AI 摘要。企業需要的是一份可追溯的 Engineering Decision Record，再由同一份來源產生不同讀者看得懂、也能執行的視圖：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主管／PM：到底要不要做、會影響什麼、現在需要誰決定。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Solution Architect／Tech Lead：架構、服務、成本、風險與替代方案。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Developer／AI Agent：可以改哪些檔案、禁止做什麼、驗收條件。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DevOps／SRE：如何驗證 build、digest、設定與 staging rollout。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FDE／Implementation：客戶需要補什麼資料、如何解釋限制與下一步。</w:t>
      </w:r>
    </w:p>
    <w:p>
      <w:r>
        <w:rPr>
          <w:rFonts w:ascii="Arial" w:hAnsi="Arial" w:eastAsia="Arial Unicode MS"/>
          <w:b w:val="0"/>
          <w:color w:val="000000"/>
          <w:sz w:val="18"/>
        </w:rPr>
        <w:t xml:space="preserve">若來源資料不足，報告會產生 </w:t>
      </w:r>
      <w:r>
        <w:rPr>
          <w:rFonts w:ascii="Courier New" w:hAnsi="Courier New" w:eastAsia="Arial Unicode MS"/>
          <w:b w:val="0"/>
          <w:color w:val="5B2C6F"/>
          <w:sz w:val="17"/>
        </w:rPr>
        <w:t>NEEDS_REVIEW</w:t>
      </w:r>
      <w:r>
        <w:rPr>
          <w:rFonts w:ascii="Arial" w:hAnsi="Arial" w:eastAsia="Arial Unicode MS"/>
          <w:b w:val="0"/>
          <w:color w:val="000000"/>
          <w:sz w:val="18"/>
        </w:rPr>
        <w:t xml:space="preserve"> 與缺資料清單，不會自行補齊不存在的事實，也不會發出可執行 Work Order。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0. Canonical Engineering Decision Record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0.1 變更識別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2592"/>
        <w:gridCol w:w="7848"/>
      </w:tblGrid>
      <w:tr>
        <w:trPr>
          <w:cantSplit/>
          <w:tblHeader/>
        </w:trPr>
        <w:tc>
          <w:tcPr>
            <w:tcW w:type="dxa" w:w="2592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848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示例值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decision_id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CHG-2026-0017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decision_version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變更類型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既有內部系統新增功能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產品情境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Internal Approval System 新增申請附件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目前狀態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APPROVED_FOR_STAGING_ONLY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source_snapshot_hash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sha256:example-source-snapshot-7f83...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policy_version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internal-cloudrun-v1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決策人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Business Owner（示例）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技術負責人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Solution Architect（示例）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有效期限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2026-09-25T23:59:59+08:00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真實證據狀態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NOT_EXECUTED</w:t>
            </w: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；本文件只展示格式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0.2 Project 環境拓撲與本次 promotion 邊界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cantSplit/>
          <w:tblHeader/>
        </w:trPr>
        <w:tc>
          <w:tcPr>
            <w:tcW w:type="dxa" w:w="174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順序</w:t>
            </w:r>
          </w:p>
        </w:tc>
        <w:tc>
          <w:tcPr>
            <w:tcW w:type="dxa" w:w="174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Project 環境</w:t>
            </w:r>
          </w:p>
        </w:tc>
        <w:tc>
          <w:tcPr>
            <w:tcW w:type="dxa" w:w="174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標準類型</w:t>
            </w:r>
          </w:p>
        </w:tc>
        <w:tc>
          <w:tcPr>
            <w:tcW w:type="dxa" w:w="174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這次允許的動作</w:t>
            </w:r>
          </w:p>
        </w:tc>
        <w:tc>
          <w:tcPr>
            <w:tcW w:type="dxa" w:w="174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必要證據</w:t>
            </w:r>
          </w:p>
        </w:tc>
        <w:tc>
          <w:tcPr>
            <w:tcW w:type="dxa" w:w="174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Development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development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建立 feature branch、執行本機檢查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Work Order、changed paths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已定義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Testing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testing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執行整合測試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PR、unit／integration tests、build provenance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已定義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Staging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staging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部署已接受 digest、執行 smoke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Candidate Decision、independent review、config hash</w:t>
            </w:r>
          </w:p>
        </w:tc>
        <w:tc>
          <w:tcPr>
            <w:tcW w:type="dxa" w:w="17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本次目標</w:t>
            </w:r>
          </w:p>
        </w:tc>
      </w:tr>
      <w:tr>
        <w:trPr>
          <w:cantSplit/>
        </w:trPr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Production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production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只能請求 promotion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Staging verified、Release Approval、backup evidence</w:t>
            </w:r>
          </w:p>
        </w:tc>
        <w:tc>
          <w:tcPr>
            <w:tcW w:type="dxa" w:w="17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P0 blocked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r>
        <w:rPr>
          <w:rFonts w:ascii="Arial" w:hAnsi="Arial" w:eastAsia="Arial Unicode MS"/>
          <w:b w:val="0"/>
          <w:color w:val="000000"/>
          <w:sz w:val="18"/>
        </w:rPr>
        <w:t>環境名稱由 Project owner 定義，但 Production 的最低保護不可透過改名繞過。</w:t>
      </w:r>
      <w:r>
        <w:rPr>
          <w:rFonts w:ascii="Courier New" w:hAnsi="Courier New" w:eastAsia="Arial Unicode MS"/>
          <w:b w:val="0"/>
          <w:color w:val="5B2C6F"/>
          <w:sz w:val="17"/>
        </w:rPr>
        <w:t>Code Review</w:t>
      </w:r>
      <w:r>
        <w:rPr>
          <w:rFonts w:ascii="Arial" w:hAnsi="Arial" w:eastAsia="Arial Unicode MS"/>
          <w:b w:val="0"/>
          <w:color w:val="000000"/>
          <w:sz w:val="18"/>
        </w:rPr>
        <w:t>、</w:t>
      </w:r>
      <w:r>
        <w:rPr>
          <w:rFonts w:ascii="Courier New" w:hAnsi="Courier New" w:eastAsia="Arial Unicode MS"/>
          <w:b w:val="0"/>
          <w:color w:val="5B2C6F"/>
          <w:sz w:val="17"/>
        </w:rPr>
        <w:t>Candidate Review</w:t>
      </w:r>
      <w:r>
        <w:rPr>
          <w:rFonts w:ascii="Arial" w:hAnsi="Arial" w:eastAsia="Arial Unicode MS"/>
          <w:b w:val="0"/>
          <w:color w:val="000000"/>
          <w:sz w:val="18"/>
        </w:rPr>
        <w:t xml:space="preserve"> 與 </w:t>
      </w:r>
      <w:r>
        <w:rPr>
          <w:rFonts w:ascii="Courier New" w:hAnsi="Courier New" w:eastAsia="Arial Unicode MS"/>
          <w:b w:val="0"/>
          <w:color w:val="5B2C6F"/>
          <w:sz w:val="17"/>
        </w:rPr>
        <w:t>Release Approval</w:t>
      </w:r>
      <w:r>
        <w:rPr>
          <w:rFonts w:ascii="Arial" w:hAnsi="Arial" w:eastAsia="Arial Unicode MS"/>
          <w:b w:val="0"/>
          <w:color w:val="000000"/>
          <w:sz w:val="18"/>
        </w:rPr>
        <w:t xml:space="preserve"> 是 gate，不是環境；本示例只展示環境治理 metadata，不代表已執行任何真實部署。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0.2 業務需求</w:t>
      </w:r>
    </w:p>
    <w:p>
      <w:r>
        <w:rPr>
          <w:rFonts w:ascii="Arial" w:hAnsi="Arial" w:eastAsia="Arial Unicode MS"/>
          <w:b w:val="0"/>
          <w:color w:val="000000"/>
          <w:sz w:val="18"/>
        </w:rPr>
        <w:t>目前員工送出簽核申請後，只能在外部系統貼上文件連結。需求是讓員工在申請單中上傳附件，讓審核者在相同的內部系統中查看附件，並保留基本的存取紀錄。</w:t>
      </w:r>
    </w:p>
    <w:p>
      <w:r>
        <w:rPr>
          <w:rFonts w:ascii="Arial" w:hAnsi="Arial" w:eastAsia="Arial Unicode MS"/>
          <w:b w:val="0"/>
          <w:color w:val="000000"/>
          <w:sz w:val="18"/>
        </w:rPr>
        <w:t>本次要解決的是「申請資料與附件分離造成的審核遺漏」，不是建置一個通用檔案管理平台。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0.3 已確認的需求與限制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1944"/>
        <w:gridCol w:w="3384"/>
        <w:gridCol w:w="5112"/>
      </w:tblGrid>
      <w:tr>
        <w:trPr>
          <w:cantSplit/>
          <w:tblHeader/>
        </w:trPr>
        <w:tc>
          <w:tcPr>
            <w:tcW w:type="dxa" w:w="194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338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已確認內容</w:t>
            </w:r>
          </w:p>
        </w:tc>
        <w:tc>
          <w:tcPr>
            <w:tcW w:type="dxa" w:w="5112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來源／責任人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使用者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申請人可上傳；同一申請的審核者可查看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 Owner（示例）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檔案大小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單檔最多 25 MB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 Owner（示例）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檔案格式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PDF、DOCX、XLSX、PNG、JPG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 Owner（示例）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保留期限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365 天，期滿自動刪除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Compliance Owner（示例）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預估流量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每月 10,000 次上傳、30,000 次下載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 Owner（示例）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資料分類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Internal Confidential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Security Owner（示例）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地區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asia-east1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Solution Architect（示例）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發佈邊界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只允許先到 staging；本次不允許 production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Release Owner（示例）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0.4 需求結論</w:t>
      </w:r>
    </w:p>
    <w:p>
      <w:r>
        <w:rPr>
          <w:rFonts w:ascii="Arial" w:hAnsi="Arial" w:eastAsia="Arial Unicode MS"/>
          <w:b w:val="0"/>
          <w:color w:val="000000"/>
          <w:sz w:val="18"/>
        </w:rPr>
        <w:t>在示例資料已補齊的前提下，選擇「Cloud Run 產生短效 signed URL，由 Cloud Storage 直接傳輸檔案」作為 staging candidate。Cloud Run 仍然負責身分驗證、申請單授權、檔案 metadata、稽核事件與 URL 產生；Storage bucket 不允許 public access。</w:t>
      </w:r>
    </w:p>
    <w:p>
      <w:r>
        <w:rPr>
          <w:rFonts w:ascii="Arial" w:hAnsi="Arial" w:eastAsia="Arial Unicode MS"/>
          <w:b w:val="0"/>
          <w:color w:val="000000"/>
          <w:sz w:val="18"/>
        </w:rPr>
        <w:t>這是「建議可進入 staging 驗證」，不是「已批准 production」。如果 source snapshot、政策版本、架構限制或關鍵需求改變，</w:t>
      </w:r>
      <w:r>
        <w:rPr>
          <w:rFonts w:ascii="Courier New" w:hAnsi="Courier New" w:eastAsia="Arial Unicode MS"/>
          <w:b w:val="0"/>
          <w:color w:val="5B2C6F"/>
          <w:sz w:val="17"/>
        </w:rPr>
        <w:t>decision_version</w:t>
      </w:r>
      <w:r>
        <w:rPr>
          <w:rFonts w:ascii="Arial" w:hAnsi="Arial" w:eastAsia="Arial Unicode MS"/>
          <w:b w:val="0"/>
          <w:color w:val="000000"/>
          <w:sz w:val="18"/>
        </w:rPr>
        <w:t xml:space="preserve"> 必須增加，舊的 Agent Context Pack 與 Work Order 立即失效。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1. 主管／PM 版：Change Decision Brief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一句話結論</w:t>
      </w:r>
    </w:p>
    <w:p>
      <w:r>
        <w:rPr>
          <w:rFonts w:ascii="Arial" w:hAnsi="Arial" w:eastAsia="Arial Unicode MS"/>
          <w:b/>
          <w:color w:val="000000"/>
          <w:sz w:val="18"/>
        </w:rPr>
        <w:t>可以做，但先以 private Cloud Storage + 短效 signed URL 在 staging 驗證；production 上線前仍必須補齊真實成本、資安審查、備份與 rollout 證據。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為什麼值得做</w:t>
      </w:r>
    </w:p>
    <w:p>
      <w:r>
        <w:rPr>
          <w:rFonts w:ascii="Arial" w:hAnsi="Arial" w:eastAsia="Arial Unicode MS"/>
          <w:b w:val="0"/>
          <w:color w:val="000000"/>
          <w:sz w:val="18"/>
        </w:rPr>
        <w:t>附件與簽核單放在同一個流程裡，可以減少審核者找檔案、權限錯誤與申請資料遺漏。這個功能也能驗證公司未來使用 Cloud Run、Cloud Storage 與 AI 輔助交付時，是否能保留決策、責任與證據鏈。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對業務的影響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1944"/>
        <w:gridCol w:w="3384"/>
        <w:gridCol w:w="5112"/>
      </w:tblGrid>
      <w:tr>
        <w:trPr>
          <w:cantSplit/>
          <w:tblHeader/>
        </w:trPr>
        <w:tc>
          <w:tcPr>
            <w:tcW w:type="dxa" w:w="194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問題</w:t>
            </w:r>
          </w:p>
        </w:tc>
        <w:tc>
          <w:tcPr>
            <w:tcW w:type="dxa" w:w="338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預期改善</w:t>
            </w:r>
          </w:p>
        </w:tc>
        <w:tc>
          <w:tcPr>
            <w:tcW w:type="dxa" w:w="5112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需要接受的代價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審核者找不到附件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在申請單內直接查看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需要定義檔案格式與保留期限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附件權限不一致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沿用申請單的角色授權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需要測試申請人、審核者、非關係人三種角色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需求變更容易直接進開發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先產出決策與缺資料報告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初期會比直接請 AI 寫 code 多一個 gate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AI 產出難以稽核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 xml:space="preserve">每個視圖共享 </w:t>
            </w: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decision_id</w:t>
            </w: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 xml:space="preserve"> 與版本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必須維護 source snapshot 與 evidence refs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本次要決定的事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1656"/>
        <w:gridCol w:w="2880"/>
        <w:gridCol w:w="2880"/>
        <w:gridCol w:w="3024"/>
      </w:tblGrid>
      <w:tr>
        <w:trPr>
          <w:cantSplit/>
          <w:tblHeader/>
        </w:trPr>
        <w:tc>
          <w:tcPr>
            <w:tcW w:type="dxa" w:w="1656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決策</w:t>
            </w:r>
          </w:p>
        </w:tc>
        <w:tc>
          <w:tcPr>
            <w:tcW w:type="dxa" w:w="288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建議</w:t>
            </w:r>
          </w:p>
        </w:tc>
        <w:tc>
          <w:tcPr>
            <w:tcW w:type="dxa" w:w="288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決策人</w:t>
            </w:r>
          </w:p>
        </w:tc>
        <w:tc>
          <w:tcPr>
            <w:tcW w:type="dxa" w:w="302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是否採用 signed URL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採用，限制為短效、private bucket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Solution Architect + Security Owner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示例已決定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是否進 staging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可以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Release Owner</w:t>
            </w:r>
          </w:p>
        </w:tc>
        <w:tc>
          <w:tcPr>
            <w:tcW w:type="dxa" w:w="302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示例已決定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是否進 production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不在本次範圍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Production Approver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明確拒絕／未授權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是否建立通用檔案平台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不做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 Owner</w:t>
            </w:r>
          </w:p>
        </w:tc>
        <w:tc>
          <w:tcPr>
            <w:tcW w:type="dxa" w:w="302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明確拒絕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不做會怎樣</w:t>
      </w:r>
    </w:p>
    <w:p>
      <w:r>
        <w:rPr>
          <w:rFonts w:ascii="Arial" w:hAnsi="Arial" w:eastAsia="Arial Unicode MS"/>
          <w:b w:val="0"/>
          <w:color w:val="000000"/>
          <w:sz w:val="18"/>
        </w:rPr>
        <w:t>如果不做，原本的外部連結流程仍可運作，但審核體驗、授權一致性與稽核完整性不會改善。這不是必做的緊急修復，而是有明確業務收益、可以用 staging 控制風險的增量變更。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下一步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1. Product Owner 確認需求與保留期限。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2. Security Owner 確認 Internal Confidential 的檔案處理政策。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3. Developer 只依照 Agent Context Pack 修改允許路徑。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4. CI 產生測試、artifact digest 與 build provenance。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5. 先部署到 staging，完成角色、逾期刪除與拒絕案例驗證。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2. Solution Architect／Tech Lead 版：架構與成本報告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2.1 現況與目標架構</w:t>
      </w:r>
    </w:p>
    <w:p>
      <w:r>
        <w:rPr>
          <w:rFonts w:ascii="Arial" w:hAnsi="Arial" w:eastAsia="Arial Unicode MS"/>
          <w:b w:val="0"/>
          <w:color w:val="000000"/>
          <w:sz w:val="18"/>
        </w:rPr>
        <w:t>現有系統是 Go API 部署在 Cloud Run，申請單 metadata 放在 Firestore。新增附件後，建議的資料流如下：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申請人／審核者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│ 1. request attachment URL / view attachment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▼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Go API on Cloud Run ── 2. 驗證登入者與申請單角色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│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├── Firestore：attachment metadata、owner、申請單關聯、audit event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│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└── 3. 產生短效 signed URL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              │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              ▼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       Private Cloud Storage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 xml:space="preserve">              (asia-east1、365 天 lifecycle)</w:t>
      </w:r>
    </w:p>
    <w:p>
      <w:pPr>
        <w:spacing w:after="20"/>
      </w:pPr>
      <w:r>
        <w:rPr>
          <w:sz w:val="2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2.2 方案比較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1656"/>
        <w:gridCol w:w="2880"/>
        <w:gridCol w:w="2880"/>
        <w:gridCol w:w="3024"/>
      </w:tblGrid>
      <w:tr>
        <w:trPr>
          <w:cantSplit/>
          <w:tblHeader/>
        </w:trPr>
        <w:tc>
          <w:tcPr>
            <w:tcW w:type="dxa" w:w="1656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方案</w:t>
            </w:r>
          </w:p>
        </w:tc>
        <w:tc>
          <w:tcPr>
            <w:tcW w:type="dxa" w:w="288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優點</w:t>
            </w:r>
          </w:p>
        </w:tc>
        <w:tc>
          <w:tcPr>
            <w:tcW w:type="dxa" w:w="288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主要風險</w:t>
            </w:r>
          </w:p>
        </w:tc>
        <w:tc>
          <w:tcPr>
            <w:tcW w:type="dxa" w:w="302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示例判斷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Cloud Run proxy 轉送檔案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授權與資料流集中、容易先做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大檔案佔用 Cloud Run 流量與 request time；成本與 timeout 風險較高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可作 fallback，不選主方案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Signed URL 直傳 Storage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Cloud Run 不承載檔案內容；容易限制有效期與 private access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URL 管理、CORS、撤銷與 audit 必須設計清楚</w:t>
            </w:r>
          </w:p>
        </w:tc>
        <w:tc>
          <w:tcPr>
            <w:tcW w:type="dxa" w:w="302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選為 staging candidate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直接讓前端存取 public bucket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開發看似簡單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資料外洩、無法滿足 Internal Confidential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禁止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2.3 服務與責任邊界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1656"/>
        <w:gridCol w:w="2880"/>
        <w:gridCol w:w="2880"/>
        <w:gridCol w:w="3024"/>
      </w:tblGrid>
      <w:tr>
        <w:trPr>
          <w:cantSplit/>
          <w:tblHeader/>
        </w:trPr>
        <w:tc>
          <w:tcPr>
            <w:tcW w:type="dxa" w:w="1656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元件</w:t>
            </w:r>
          </w:p>
        </w:tc>
        <w:tc>
          <w:tcPr>
            <w:tcW w:type="dxa" w:w="288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本次用途</w:t>
            </w:r>
          </w:p>
        </w:tc>
        <w:tc>
          <w:tcPr>
            <w:tcW w:type="dxa" w:w="288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變更影響</w:t>
            </w:r>
          </w:p>
        </w:tc>
        <w:tc>
          <w:tcPr>
            <w:tcW w:type="dxa" w:w="302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本次是否建立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Cloud Run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API、授權、signed URL、metadata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timeout、service account、request log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使用既有服務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Firestore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附件 metadata 與 audit event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schema、index、讀寫權限</w:t>
            </w:r>
          </w:p>
        </w:tc>
        <w:tc>
          <w:tcPr>
            <w:tcW w:type="dxa" w:w="302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增加 collection／欄位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Cloud Storage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private 檔案內容與 lifecycle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bucket policy、CORS、retention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建立 staging bucket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Cloud Build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build、test、provenance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pipeline step、artifact digest</w:t>
            </w:r>
          </w:p>
        </w:tc>
        <w:tc>
          <w:tcPr>
            <w:tcW w:type="dxa" w:w="302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使用既有 pipeline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Artifact Registry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儲存 container image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image tag／digest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使用既有 registry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Cloud Deploy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staging rollout／approval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target、approval gate</w:t>
            </w:r>
          </w:p>
        </w:tc>
        <w:tc>
          <w:tcPr>
            <w:tcW w:type="dxa" w:w="302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本次只驗證 staging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Cloud KMS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CMEK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key rotation、IAM、成本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MVP 不引入，需另案決策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2.4 安全與可靠性控制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bucket 必須保持 private，禁止 public IAM binding。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signed URL 有效期預設 5 分鐘，URL 不作為長期權限。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API 先驗證使用者與申請單角色，再產生 upload 或 download URL。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 xml:space="preserve">metadata 不存檔案內容；檔案 path 使用不可猜測的 </w:t>
      </w:r>
      <w:r>
        <w:rPr>
          <w:rFonts w:ascii="Courier New" w:hAnsi="Courier New" w:eastAsia="Arial Unicode MS"/>
          <w:b w:val="0"/>
          <w:color w:val="5B2C6F"/>
          <w:sz w:val="17"/>
        </w:rPr>
        <w:t>request_id/attachment_id</w:t>
      </w:r>
      <w:r>
        <w:rPr>
          <w:rFonts w:ascii="Arial" w:hAnsi="Arial" w:eastAsia="Arial Unicode MS"/>
          <w:b w:val="0"/>
          <w:color w:val="000000"/>
          <w:sz w:val="17"/>
        </w:rPr>
        <w:t>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lifecycle rule 在 365 天後刪除物件；刪除動作需要有可查詢的 audit event。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staging 與 production 使用不同 bucket、service account 與設定快照。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production 不接受僅有 tag 的 image；必須綁定 immutable digest。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檔案病毒掃描、DLP、CMEK 若是政策要求，必須先升級成新的決策版本，不可默默塞入 agent scope。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2.5 成本模型（示例，不是報價）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1656"/>
        <w:gridCol w:w="2880"/>
        <w:gridCol w:w="2880"/>
        <w:gridCol w:w="3024"/>
      </w:tblGrid>
      <w:tr>
        <w:trPr>
          <w:cantSplit/>
          <w:tblHeader/>
        </w:trPr>
        <w:tc>
          <w:tcPr>
            <w:tcW w:type="dxa" w:w="1656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成本驅動因子</w:t>
            </w:r>
          </w:p>
        </w:tc>
        <w:tc>
          <w:tcPr>
            <w:tcW w:type="dxa" w:w="288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示例輸入</w:t>
            </w:r>
          </w:p>
        </w:tc>
        <w:tc>
          <w:tcPr>
            <w:tcW w:type="dxa" w:w="288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對成本的影響</w:t>
            </w:r>
          </w:p>
        </w:tc>
        <w:tc>
          <w:tcPr>
            <w:tcW w:type="dxa" w:w="302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目前狀態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新增儲存量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10,000 × 平均 5 MB／月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Storage 增長與 365 天保留期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已提供；需用真實 distribution 校正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下載流量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30,000 次／月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egress、signed URL 下載流量</w:t>
            </w:r>
          </w:p>
        </w:tc>
        <w:tc>
          <w:tcPr>
            <w:tcW w:type="dxa" w:w="302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未提供來源地區，不能做 production 報價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Cloud Run request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產生 URL 與 metadata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request、CPU、memory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可沿用基線，需用 staging 觀測校正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Firestore reads/writes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每次上傳／下載的 metadata</w:t>
            </w:r>
          </w:p>
        </w:tc>
        <w:tc>
          <w:tcPr>
            <w:tcW w:type="dxa" w:w="288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operation 數量與 index</w:t>
            </w:r>
          </w:p>
        </w:tc>
        <w:tc>
          <w:tcPr>
            <w:tcW w:type="dxa" w:w="302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需用實際 query pattern 驗證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Build／Deploy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每次 PR、staging rollout</w:t>
            </w:r>
          </w:p>
        </w:tc>
        <w:tc>
          <w:tcPr>
            <w:tcW w:type="dxa" w:w="288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build minutes、artifact storage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可由既有 pipeline 估算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r>
        <w:rPr>
          <w:rFonts w:ascii="Arial" w:hAnsi="Arial" w:eastAsia="Arial Unicode MS"/>
          <w:b w:val="0"/>
          <w:color w:val="000000"/>
          <w:sz w:val="18"/>
        </w:rPr>
        <w:t>成本結論不是「每月一定 USD X」。這個示例只允許輸出：</w:t>
      </w:r>
      <w:r>
        <w:rPr>
          <w:rFonts w:ascii="Courier New" w:hAnsi="Courier New" w:eastAsia="Arial Unicode MS"/>
          <w:b w:val="0"/>
          <w:color w:val="5B2C6F"/>
          <w:sz w:val="17"/>
        </w:rPr>
        <w:t>成本可估算，但真實金額仍取決於流量、檔案平均大小、下載地區、保留量與當期 pricing calculator</w:t>
      </w:r>
      <w:r>
        <w:rPr>
          <w:rFonts w:ascii="Arial" w:hAnsi="Arial" w:eastAsia="Arial Unicode MS"/>
          <w:b w:val="0"/>
          <w:color w:val="000000"/>
          <w:sz w:val="18"/>
        </w:rPr>
        <w:t>。這樣的報告比硬填一個看似精準的數字更適合企業決策。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2.6 非功能驗收條件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2592"/>
        <w:gridCol w:w="7848"/>
      </w:tblGrid>
      <w:tr>
        <w:trPr>
          <w:cantSplit/>
          <w:tblHeader/>
        </w:trPr>
        <w:tc>
          <w:tcPr>
            <w:tcW w:type="dxa" w:w="2592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類別</w:t>
            </w:r>
          </w:p>
        </w:tc>
        <w:tc>
          <w:tcPr>
            <w:tcW w:type="dxa" w:w="7848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staging 驗收條件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授權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申請人可上傳自己的附件；審核者可查看；非關係人收到 403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整合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signed URL 不暴露 bucket public access；metadata 與申請單關聯正確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安全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static policy 檢查拒絕 public bucket、過長 URL TTL、未授權路徑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保留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365 天 lifecycle 規則存在且可由設定快照證明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可靠性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失效 URL、重複 upload、超過大小、錯誤申請單均有明確錯誤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可觀測性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request、attachment、actor、decision_id 可串成 audit trail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發佈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staging image digest、build provenance、config hash 三者可對應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3. Decision Readiness 版：缺資料時怎麼停止</w:t>
      </w:r>
    </w:p>
    <w:p>
      <w:r>
        <w:rPr>
          <w:rFonts w:ascii="Arial" w:hAnsi="Arial" w:eastAsia="Arial Unicode MS"/>
          <w:b w:val="0"/>
          <w:color w:val="000000"/>
          <w:sz w:val="18"/>
        </w:rPr>
        <w:t>這一份是同一需求在</w:t>
      </w:r>
      <w:r>
        <w:rPr>
          <w:rFonts w:ascii="Arial" w:hAnsi="Arial" w:eastAsia="Arial Unicode MS"/>
          <w:b/>
          <w:color w:val="000000"/>
          <w:sz w:val="18"/>
        </w:rPr>
        <w:t>尚未補齊資料時</w:t>
      </w:r>
      <w:r>
        <w:rPr>
          <w:rFonts w:ascii="Arial" w:hAnsi="Arial" w:eastAsia="Arial Unicode MS"/>
          <w:b w:val="0"/>
          <w:color w:val="000000"/>
          <w:sz w:val="18"/>
        </w:rPr>
        <w:t>的輸出。它故意保留阻擋狀態，展示系統不應該為了讓報告看起來完整而自行捏造答案。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3.1 初始輸入狀態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1440"/>
        <w:gridCol w:w="1944"/>
        <w:gridCol w:w="2592"/>
        <w:gridCol w:w="2376"/>
        <w:gridCol w:w="2088"/>
      </w:tblGrid>
      <w:tr>
        <w:trPr>
          <w:cantSplit/>
          <w:tblHeader/>
        </w:trPr>
        <w:tc>
          <w:tcPr>
            <w:tcW w:type="dxa" w:w="1440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缺少的資料</w:t>
            </w:r>
          </w:p>
        </w:tc>
        <w:tc>
          <w:tcPr>
            <w:tcW w:type="dxa" w:w="194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必要性</w:t>
            </w:r>
          </w:p>
        </w:tc>
        <w:tc>
          <w:tcPr>
            <w:tcW w:type="dxa" w:w="2592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應由誰提供</w:t>
            </w:r>
          </w:p>
        </w:tc>
        <w:tc>
          <w:tcPr>
            <w:tcW w:type="dxa" w:w="2376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沒有它會影響什麼</w:t>
            </w:r>
          </w:p>
        </w:tc>
        <w:tc>
          <w:tcPr>
            <w:tcW w:type="dxa" w:w="2088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retention days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必要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Compliance Owner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lifecycle、成本、刪除政策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每月上傳／下載量</w:t>
            </w:r>
          </w:p>
        </w:tc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必要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 Owner</w:t>
            </w:r>
          </w:p>
        </w:tc>
        <w:tc>
          <w:tcPr>
            <w:tcW w:type="dxa" w:w="237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Storage、egress、Firestore 成本</w:t>
            </w:r>
          </w:p>
        </w:tc>
        <w:tc>
          <w:tcPr>
            <w:tcW w:type="dxa" w:w="208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單檔大小與格式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必要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 Owner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Cloud Run proxy 或 signed URL 的方案判斷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資料分類與地區</w:t>
            </w:r>
          </w:p>
        </w:tc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必要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Security Owner</w:t>
            </w:r>
          </w:p>
        </w:tc>
        <w:tc>
          <w:tcPr>
            <w:tcW w:type="dxa" w:w="237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bucket region、DLP、加密與存取政策</w:t>
            </w:r>
          </w:p>
        </w:tc>
        <w:tc>
          <w:tcPr>
            <w:tcW w:type="dxa" w:w="208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審核者與非關係人權限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必要</w:t>
            </w:r>
          </w:p>
        </w:tc>
        <w:tc>
          <w:tcPr>
            <w:tcW w:type="dxa" w:w="259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 Owner</w:t>
            </w:r>
          </w:p>
        </w:tc>
        <w:tc>
          <w:tcPr>
            <w:tcW w:type="dxa" w:w="237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authorization rule 與測試案例</w:t>
            </w:r>
          </w:p>
        </w:tc>
        <w:tc>
          <w:tcPr>
            <w:tcW w:type="dxa" w:w="208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RTO／RPO</w:t>
            </w:r>
          </w:p>
        </w:tc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production 必要</w:t>
            </w:r>
          </w:p>
        </w:tc>
        <w:tc>
          <w:tcPr>
            <w:tcW w:type="dxa" w:w="259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SRE／Service Owner</w:t>
            </w:r>
          </w:p>
        </w:tc>
        <w:tc>
          <w:tcPr>
            <w:tcW w:type="dxa" w:w="2376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backup、recovery 與 production gate</w:t>
            </w:r>
          </w:p>
        </w:tc>
        <w:tc>
          <w:tcPr>
            <w:tcW w:type="dxa" w:w="208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MISSING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3.2 缺資料時的決策結果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2592"/>
        <w:gridCol w:w="7848"/>
      </w:tblGrid>
      <w:tr>
        <w:trPr>
          <w:cantSplit/>
          <w:tblHeader/>
        </w:trPr>
        <w:tc>
          <w:tcPr>
            <w:tcW w:type="dxa" w:w="2592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848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decision_readiness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NEEDS_REVIEW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work_order_issuance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BLOCKED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production_deploy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BLOCKED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AI 可做的事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產生問題清單、列出需要的證據、比較暫定方案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AI 不可做的事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自行假設 retention、替公司選 region、把暫定成本當承諾、發出 deploy 指令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3.3 補資料後為什麼要升版</w:t>
      </w:r>
    </w:p>
    <w:p>
      <w:r>
        <w:rPr>
          <w:rFonts w:ascii="Arial" w:hAnsi="Arial" w:eastAsia="Arial Unicode MS"/>
          <w:b w:val="0"/>
          <w:color w:val="000000"/>
          <w:sz w:val="18"/>
        </w:rPr>
        <w:t xml:space="preserve">在這個示例中，Business Owner 後來補上 365 天保留、每月 10,000 次上傳、30,000 次下載；Security Owner 確認 Internal Confidential 與 </w:t>
      </w:r>
      <w:r>
        <w:rPr>
          <w:rFonts w:ascii="Courier New" w:hAnsi="Courier New" w:eastAsia="Arial Unicode MS"/>
          <w:b w:val="0"/>
          <w:color w:val="5B2C6F"/>
          <w:sz w:val="17"/>
        </w:rPr>
        <w:t>asia-east1</w:t>
      </w:r>
      <w:r>
        <w:rPr>
          <w:rFonts w:ascii="Arial" w:hAnsi="Arial" w:eastAsia="Arial Unicode MS"/>
          <w:b w:val="0"/>
          <w:color w:val="000000"/>
          <w:sz w:val="18"/>
        </w:rPr>
        <w:t xml:space="preserve">。因此從 version 2 產生 version 3，重新計算 </w:t>
      </w:r>
      <w:r>
        <w:rPr>
          <w:rFonts w:ascii="Courier New" w:hAnsi="Courier New" w:eastAsia="Arial Unicode MS"/>
          <w:b w:val="0"/>
          <w:color w:val="5B2C6F"/>
          <w:sz w:val="17"/>
        </w:rPr>
        <w:t>source_snapshot_hash</w:t>
      </w:r>
      <w:r>
        <w:rPr>
          <w:rFonts w:ascii="Arial" w:hAnsi="Arial" w:eastAsia="Arial Unicode MS"/>
          <w:b w:val="0"/>
          <w:color w:val="000000"/>
          <w:sz w:val="18"/>
        </w:rPr>
        <w:t>，重新產生人類報告與 Agent Context Pack。</w:t>
      </w:r>
    </w:p>
    <w:p>
      <w:r>
        <w:rPr>
          <w:rFonts w:ascii="Arial" w:hAnsi="Arial" w:eastAsia="Arial Unicode MS"/>
          <w:b w:val="0"/>
          <w:color w:val="000000"/>
          <w:sz w:val="18"/>
        </w:rPr>
        <w:t>舊版本的 Work Order 不會自動復活。這是為了避免 agent 仍依照已過期的假設修改程式或部署資源。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4. Developer／AI Agent 版：Agent Context Pack</w:t>
      </w:r>
    </w:p>
    <w:p>
      <w:r>
        <w:rPr>
          <w:rFonts w:ascii="Arial" w:hAnsi="Arial" w:eastAsia="Arial Unicode MS"/>
          <w:b w:val="0"/>
          <w:color w:val="000000"/>
          <w:sz w:val="18"/>
        </w:rPr>
        <w:t xml:space="preserve">這一份不是給主管閱讀的長報告，而是受到邊界限制的機器契約。完整 JSON 範例在同一資料夾的 </w:t>
      </w:r>
      <w:r>
        <w:rPr>
          <w:rFonts w:ascii="Courier New" w:hAnsi="Courier New" w:eastAsia="Arial Unicode MS"/>
          <w:b w:val="0"/>
          <w:color w:val="5B2C6F"/>
          <w:sz w:val="17"/>
        </w:rPr>
        <w:t>AGENT_CONTEXT_PACK_HERO.example.json</w:t>
      </w:r>
      <w:r>
        <w:rPr>
          <w:rFonts w:ascii="Arial" w:hAnsi="Arial" w:eastAsia="Arial Unicode MS"/>
          <w:b w:val="0"/>
          <w:color w:val="000000"/>
          <w:sz w:val="18"/>
        </w:rPr>
        <w:t>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4.1 Agent 被允許做什麼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 xml:space="preserve">修改 </w:t>
      </w:r>
      <w:r>
        <w:rPr>
          <w:rFonts w:ascii="Courier New" w:hAnsi="Courier New" w:eastAsia="Arial Unicode MS"/>
          <w:b w:val="0"/>
          <w:color w:val="5B2C6F"/>
          <w:sz w:val="17"/>
        </w:rPr>
        <w:t>internal/attachments/**</w:t>
      </w:r>
      <w:r>
        <w:rPr>
          <w:rFonts w:ascii="Arial" w:hAnsi="Arial" w:eastAsia="Arial Unicode MS"/>
          <w:b w:val="0"/>
          <w:color w:val="000000"/>
          <w:sz w:val="17"/>
        </w:rPr>
        <w:t>、</w:t>
      </w:r>
      <w:r>
        <w:rPr>
          <w:rFonts w:ascii="Courier New" w:hAnsi="Courier New" w:eastAsia="Arial Unicode MS"/>
          <w:b w:val="0"/>
          <w:color w:val="5B2C6F"/>
          <w:sz w:val="17"/>
        </w:rPr>
        <w:t>internal/storage/**</w:t>
      </w:r>
      <w:r>
        <w:rPr>
          <w:rFonts w:ascii="Arial" w:hAnsi="Arial" w:eastAsia="Arial Unicode MS"/>
          <w:b w:val="0"/>
          <w:color w:val="000000"/>
          <w:sz w:val="17"/>
        </w:rPr>
        <w:t>、</w:t>
      </w:r>
      <w:r>
        <w:rPr>
          <w:rFonts w:ascii="Courier New" w:hAnsi="Courier New" w:eastAsia="Arial Unicode MS"/>
          <w:b w:val="0"/>
          <w:color w:val="5B2C6F"/>
          <w:sz w:val="17"/>
        </w:rPr>
        <w:t>tests/attachments/**</w:t>
      </w:r>
      <w:r>
        <w:rPr>
          <w:rFonts w:ascii="Arial" w:hAnsi="Arial" w:eastAsia="Arial Unicode MS"/>
          <w:b w:val="0"/>
          <w:color w:val="000000"/>
          <w:sz w:val="17"/>
        </w:rPr>
        <w:t>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實作 attachment metadata、signed URL service、角色授權與測試。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更新必要的 API schema 與 staging-only 設定範本。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在本地或受控 CI 執行 unit test、integration test、static policy test。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4.2 Agent 被禁止做什麼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不可修改任意 IAM policy、建立 public bucket 或讀取 deployment secret。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不可部署 production、變更 production database schema、替換 release approval。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 xml:space="preserve">不可把 </w:t>
      </w:r>
      <w:r>
        <w:rPr>
          <w:rFonts w:ascii="Courier New" w:hAnsi="Courier New" w:eastAsia="Arial Unicode MS"/>
          <w:b w:val="0"/>
          <w:color w:val="5B2C6F"/>
          <w:sz w:val="17"/>
        </w:rPr>
        <w:t>MISSING</w:t>
      </w:r>
      <w:r>
        <w:rPr>
          <w:rFonts w:ascii="Arial" w:hAnsi="Arial" w:eastAsia="Arial Unicode MS"/>
          <w:b w:val="0"/>
          <w:color w:val="000000"/>
          <w:sz w:val="17"/>
        </w:rPr>
        <w:t xml:space="preserve"> 欄位自行當成已確認需求。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不可將新的需求擴大成通用檔案平台、病毒掃描平台或跨租戶 SaaS。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4.3 Agent 的完成條件</w:t>
      </w:r>
    </w:p>
    <w:p>
      <w:r>
        <w:rPr>
          <w:rFonts w:ascii="Arial" w:hAnsi="Arial" w:eastAsia="Arial Unicode MS"/>
          <w:b w:val="0"/>
          <w:color w:val="000000"/>
          <w:sz w:val="18"/>
        </w:rPr>
        <w:t>Agent 只有在以下條件全部達成時，才可以回報「implementation candidate ready」：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1. 所有變更都在 allowed paths。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2. 上傳、下載、超過大小、失效 URL、未授權角色測試有結果。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3. public bucket、過長 URL TTL、production path 變更的 policy test 有結果。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 xml:space="preserve">4. 回報 </w:t>
      </w:r>
      <w:r>
        <w:rPr>
          <w:rFonts w:ascii="Courier New" w:hAnsi="Courier New" w:eastAsia="Arial Unicode MS"/>
          <w:b w:val="0"/>
          <w:color w:val="5B2C6F"/>
          <w:sz w:val="17"/>
        </w:rPr>
        <w:t>decision_id</w:t>
      </w:r>
      <w:r>
        <w:rPr>
          <w:rFonts w:ascii="Arial" w:hAnsi="Arial" w:eastAsia="Arial Unicode MS"/>
          <w:b w:val="0"/>
          <w:color w:val="000000"/>
          <w:sz w:val="17"/>
        </w:rPr>
        <w:t>、source snapshot、changed paths、test commands 與結果。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5. 沒有自行處理 out-of-scope 或 missing inputs。</w:t>
      </w:r>
    </w:p>
    <w:p>
      <w:r>
        <w:rPr>
          <w:rFonts w:ascii="Arial" w:hAnsi="Arial" w:eastAsia="Arial Unicode MS"/>
          <w:b w:val="0"/>
          <w:color w:val="000000"/>
          <w:sz w:val="18"/>
        </w:rPr>
        <w:t>「測試通過」不等於「可以上 production」。Agent 只能回報證據；merge、approval、deploy 仍然是人與既有 release workflow 的權限。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5. DevOps／SRE 版：Evidence Bundle 與 Release Receipt</w:t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5.1 必須收集的證據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1944"/>
        <w:gridCol w:w="3384"/>
        <w:gridCol w:w="5112"/>
      </w:tblGrid>
      <w:tr>
        <w:trPr>
          <w:cantSplit/>
          <w:tblHeader/>
        </w:trPr>
        <w:tc>
          <w:tcPr>
            <w:tcW w:type="dxa" w:w="194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證據</w:t>
            </w:r>
          </w:p>
        </w:tc>
        <w:tc>
          <w:tcPr>
            <w:tcW w:type="dxa" w:w="3384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5112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示例狀態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source commit／PR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確認變更來源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FIXTURE_ONLY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changed-path manifest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確認沒有越界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FIXTURE_ONLY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unit／integration test result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確認功能與角色行為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NOT_EXECUTED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policy test result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 public access、TTL、production path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NOT_EXECUTED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container image digest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確認部署不可變 artifact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FIXTURE_ONLY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build provenance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 image 的來源與建置資訊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NOT_EXECUTED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staging config hash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確認服務、bucket、region 與設定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FIXTURE_ONLY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rollout／approval event</w:t>
            </w:r>
          </w:p>
        </w:tc>
        <w:tc>
          <w:tcPr>
            <w:tcW w:type="dxa" w:w="3384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確認誰在何時批准</w:t>
            </w:r>
          </w:p>
        </w:tc>
        <w:tc>
          <w:tcPr>
            <w:tcW w:type="dxa" w:w="5112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NOT_EXECUTED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smoke test</w:t>
            </w:r>
          </w:p>
        </w:tc>
        <w:tc>
          <w:tcPr>
            <w:tcW w:type="dxa" w:w="3384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 staging 真實路徑</w:t>
            </w:r>
          </w:p>
        </w:tc>
        <w:tc>
          <w:tcPr>
            <w:tcW w:type="dxa" w:w="5112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NOT_EXECUTED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pPr>
        <w:pStyle w:val="Heading2"/>
      </w:pPr>
      <w:r>
        <w:rPr>
          <w:rFonts w:ascii="Arial" w:hAnsi="Arial" w:eastAsia="Arial Unicode MS"/>
          <w:b w:val="0"/>
          <w:color w:val="000000"/>
          <w:sz w:val="22"/>
        </w:rPr>
        <w:t>5.2 Release Receipt（示例）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receipt_id: RR-2026-0017-STG-001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receipt_status: SIMULATED_NOT_EXECUTED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decision_id: CHG-2026-0017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decision_version: 3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environment: staging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artifact_digest: sha256:example-image-digest-91bc...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source_snapshot_hash: sha256:example-source-snapshot-7f83...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config_snapshot_hash: sha256:example-staging-config-a11c...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build_provenance: REQUIRED_BUT_NOT_ATTACHED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approval_event: REQUIRED_BUT_NOT_ATTACHED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smoke_test: NOT_EXECUTED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production_authorized: false</w:t>
      </w:r>
    </w:p>
    <w:p>
      <w:pPr>
        <w:spacing w:after="20"/>
      </w:pPr>
      <w:r>
        <w:rPr>
          <w:sz w:val="2"/>
        </w:rPr>
      </w:r>
    </w:p>
    <w:p>
      <w:r>
        <w:rPr>
          <w:rFonts w:ascii="Arial" w:hAnsi="Arial" w:eastAsia="Arial Unicode MS"/>
          <w:b w:val="0"/>
          <w:color w:val="000000"/>
          <w:sz w:val="18"/>
        </w:rPr>
        <w:t xml:space="preserve">這個 receipt 的重點不是「看起來像成功」，而是把能證明什麼、還缺什麼清楚分開。只要 digest、source snapshot 或 config hash 對不起來，release gate 應該回到 </w:t>
      </w:r>
      <w:r>
        <w:rPr>
          <w:rFonts w:ascii="Courier New" w:hAnsi="Courier New" w:eastAsia="Arial Unicode MS"/>
          <w:b w:val="0"/>
          <w:color w:val="5B2C6F"/>
          <w:sz w:val="17"/>
        </w:rPr>
        <w:t>BLOCKED</w:t>
      </w:r>
      <w:r>
        <w:rPr>
          <w:rFonts w:ascii="Arial" w:hAnsi="Arial" w:eastAsia="Arial Unicode MS"/>
          <w:b w:val="0"/>
          <w:color w:val="000000"/>
          <w:sz w:val="18"/>
        </w:rPr>
        <w:t>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6. 一個越界案例：為什麼不是所有 AI 產出都能直接合併</w:t>
      </w:r>
    </w:p>
    <w:p>
      <w:r>
        <w:rPr>
          <w:rFonts w:ascii="Arial" w:hAnsi="Arial" w:eastAsia="Arial Unicode MS"/>
          <w:b w:val="0"/>
          <w:color w:val="000000"/>
          <w:sz w:val="18"/>
        </w:rPr>
        <w:t>假設 team member 的 feature branch 額外修改：</w:t>
      </w:r>
    </w:p>
    <w:p>
      <w:pPr>
        <w:keepLines/>
        <w:spacing w:before="0" w:after="0" w:line="228" w:lineRule="auto"/>
        <w:ind w:left="173" w:right="173"/>
        <w:shd w:fill="F2F4F7"/>
      </w:pPr>
      <w:r>
        <w:rPr>
          <w:rFonts w:ascii="Courier New" w:hAnsi="Courier New" w:eastAsia="Arial Unicode MS"/>
          <w:color w:val="3B4450"/>
          <w:sz w:val="14"/>
        </w:rPr>
        <w:t>infra/iam/public-bucket.yaml</w:t>
      </w:r>
    </w:p>
    <w:p>
      <w:pPr>
        <w:spacing w:after="20"/>
      </w:pPr>
      <w:r>
        <w:rPr>
          <w:sz w:val="2"/>
        </w:rPr>
      </w:r>
    </w:p>
    <w:p>
      <w:r>
        <w:rPr>
          <w:rFonts w:ascii="Arial" w:hAnsi="Arial" w:eastAsia="Arial Unicode MS"/>
          <w:b w:val="0"/>
          <w:color w:val="000000"/>
          <w:sz w:val="18"/>
        </w:rPr>
        <w:t xml:space="preserve">並新增 </w:t>
      </w:r>
      <w:r>
        <w:rPr>
          <w:rFonts w:ascii="Courier New" w:hAnsi="Courier New" w:eastAsia="Arial Unicode MS"/>
          <w:b w:val="0"/>
          <w:color w:val="5B2C6F"/>
          <w:sz w:val="17"/>
        </w:rPr>
        <w:t>allUsers: objectViewer</w:t>
      </w:r>
      <w:r>
        <w:rPr>
          <w:rFonts w:ascii="Arial" w:hAnsi="Arial" w:eastAsia="Arial Unicode MS"/>
          <w:b w:val="0"/>
          <w:color w:val="000000"/>
          <w:sz w:val="18"/>
        </w:rPr>
        <w:t>。即使 attachment API 的 unit test 全部通過，ContextRail 仍應輸出：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2592"/>
        <w:gridCol w:w="7848"/>
      </w:tblGrid>
      <w:tr>
        <w:trPr>
          <w:cantSplit/>
          <w:tblHeader/>
        </w:trPr>
        <w:tc>
          <w:tcPr>
            <w:tcW w:type="dxa" w:w="2592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848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candidate status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 w:val="0"/>
                <w:color w:val="5B2C6F"/>
                <w:sz w:val="15"/>
              </w:rPr>
              <w:t>BLOCKED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blocking reason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變更觸碰 forbidden path 且可能暴露 Internal Confidential 檔案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可否繼續測試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可以做隔離的靜態檢查，但不能產生可部署 Work Order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需要誰決定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Security Owner + Solution Architect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000000"/>
                <w:sz w:val="16"/>
              </w:rPr>
              <w:t>是否沿用原決策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不可；必須建立新的 decision version 或退回該變更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r>
        <w:rPr>
          <w:rFonts w:ascii="Arial" w:hAnsi="Arial" w:eastAsia="Arial Unicode MS"/>
          <w:b w:val="0"/>
          <w:color w:val="000000"/>
          <w:sz w:val="18"/>
        </w:rPr>
        <w:t>這個案例也說明「feature branch」不是問題本身。問題是每個 branch 的 changed paths、commit、測試與 decision version 是否仍然落在同一條可追溯證據鏈內。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7. Single Source of Truth 規則</w:t>
      </w:r>
    </w:p>
    <w:p>
      <w:r>
        <w:rPr>
          <w:rFonts w:ascii="Arial" w:hAnsi="Arial" w:eastAsia="Arial Unicode MS"/>
          <w:b w:val="0"/>
          <w:color w:val="000000"/>
          <w:sz w:val="18"/>
        </w:rPr>
        <w:t>所有角色看到的文件都必須共享以下識別欄位：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0E7"/>
          <w:left w:val="single" w:sz="4" w:color="D9E0E7"/>
          <w:bottom w:val="single" w:sz="4" w:color="D9E0E7"/>
          <w:right w:val="single" w:sz="4" w:color="D9E0E7"/>
          <w:insideH w:val="single" w:sz="4" w:color="D9E0E7"/>
          <w:insideV w:val="single" w:sz="4" w:color="D9E0E7"/>
        </w:tblBorders>
        <w:tblCellMar>
          <w:top w:w="58" w:type="dxa"/>
          <w:bottom w:w="58" w:type="dxa"/>
          <w:left w:w="58" w:type="dxa"/>
          <w:right w:w="58" w:type="dxa"/>
        </w:tblCellMar>
      </w:tblPr>
      <w:tblGrid>
        <w:gridCol w:w="2592"/>
        <w:gridCol w:w="7848"/>
      </w:tblGrid>
      <w:tr>
        <w:trPr>
          <w:cantSplit/>
          <w:tblHeader/>
        </w:trPr>
        <w:tc>
          <w:tcPr>
            <w:tcW w:type="dxa" w:w="2592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共用欄位</w:t>
            </w:r>
          </w:p>
        </w:tc>
        <w:tc>
          <w:tcPr>
            <w:tcW w:type="dxa" w:w="7848"/>
            <w:vAlign w:val="center"/>
            <w:shd w:fill="23374D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decision_id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找到同一個需求變更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decision_version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知道自己依照哪一版決策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source_snapshot_hash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追溯輸入文件、需求與架構快照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policy_version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知道採用哪一組規則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evidence_refs</w:t>
            </w:r>
          </w:p>
        </w:tc>
        <w:tc>
          <w:tcPr>
            <w:tcW w:type="dxa" w:w="7848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由報告連到 PR、測試、provenance、rollout 證據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EAF1F8"/>
          </w:tcPr>
          <w:p>
            <w:pPr>
              <w:spacing w:before="0" w:after="0" w:line="240" w:lineRule="auto"/>
              <w:jc w:val="left"/>
            </w:pP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approver</w:t>
            </w:r>
            <w:r>
              <w:rPr>
                <w:rFonts w:ascii="Arial" w:hAnsi="Arial" w:eastAsia="Arial Unicode MS"/>
                <w:b/>
                <w:color w:val="000000"/>
                <w:sz w:val="16"/>
              </w:rPr>
              <w:t>／</w:t>
            </w:r>
            <w:r>
              <w:rPr>
                <w:rFonts w:ascii="Courier New" w:hAnsi="Courier New" w:eastAsia="Arial Unicode MS"/>
                <w:b/>
                <w:color w:val="5B2C6F"/>
                <w:sz w:val="15"/>
              </w:rPr>
              <w:t>expiry</w:t>
            </w:r>
          </w:p>
        </w:tc>
        <w:tc>
          <w:tcPr>
            <w:tcW w:type="dxa" w:w="7848"/>
            <w:vAlign w:val="center"/>
            <w:shd w:fill="F5F7F9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 Unicode MS"/>
                <w:b w:val="0"/>
                <w:color w:val="000000"/>
                <w:sz w:val="16"/>
              </w:rPr>
              <w:t>確認誰批准、何時失效</w:t>
            </w:r>
          </w:p>
        </w:tc>
      </w:tr>
    </w:tbl>
    <w:p>
      <w:pPr>
        <w:spacing w:before="0" w:after="40"/>
      </w:pPr>
      <w:r>
        <w:rPr>
          <w:sz w:val="4"/>
        </w:rPr>
      </w:r>
    </w:p>
    <w:p>
      <w:r>
        <w:rPr>
          <w:rFonts w:ascii="Arial" w:hAnsi="Arial" w:eastAsia="Arial Unicode MS"/>
          <w:b w:val="0"/>
          <w:color w:val="000000"/>
          <w:sz w:val="18"/>
        </w:rPr>
        <w:t>以下任一事件發生時，所有衍生視圖都要標成 stale，不能靜默沿用：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需求、保留期限、資料分類或流量假設改變。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架構方案、Cloud Run service、bucket、region 或 IAM 邊界改變。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source snapshot 或 policy version 改變。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agent scope、allowed paths、forbidden actions 改變。</w:t>
      </w:r>
    </w:p>
    <w:p>
      <w:pPr>
        <w:pStyle w:val="ListBullet"/>
      </w:pPr>
      <w:r>
        <w:rPr>
          <w:rFonts w:ascii="Arial" w:hAnsi="Arial" w:eastAsia="Arial Unicode MS"/>
          <w:b w:val="0"/>
          <w:color w:val="000000"/>
          <w:sz w:val="17"/>
        </w:rPr>
        <w:t>approval 過期或 evidence bundle 出現 digest／config drift。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8. 看完這份報告後，使用者實際得到什麼</w:t>
      </w:r>
    </w:p>
    <w:p>
      <w:r>
        <w:rPr>
          <w:rFonts w:ascii="Arial" w:hAnsi="Arial" w:eastAsia="Arial Unicode MS"/>
          <w:b w:val="0"/>
          <w:color w:val="000000"/>
          <w:sz w:val="18"/>
        </w:rPr>
        <w:t>不是單一一篇 AI 文章，而是一個可以放進企業 workflow 的決策包：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1. 一份給人讀的、格式一致的 Change Decision Brief。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2. 一份給架構與成本審查的 Technical Decision Report。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3. 一份在資料不足時敢於停止的 Decision Readiness Report。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4. 一份限制 agent 行為的 Agent Context Pack。</w:t>
      </w:r>
    </w:p>
    <w:p>
      <w:pPr>
        <w:spacing w:after="10"/>
        <w:ind w:left="274" w:hanging="173"/>
      </w:pPr>
      <w:r>
        <w:rPr>
          <w:rFonts w:ascii="Arial" w:hAnsi="Arial" w:eastAsia="Arial Unicode MS"/>
          <w:b w:val="0"/>
          <w:color w:val="000000"/>
          <w:sz w:val="17"/>
        </w:rPr>
        <w:t>5. 一份把測試、digest、provenance、設定與 rollout 串起來的 Evidence／Release Receipt。</w:t>
      </w:r>
    </w:p>
    <w:p>
      <w:r>
        <w:rPr>
          <w:rFonts w:ascii="Arial" w:hAnsi="Arial" w:eastAsia="Arial Unicode MS"/>
          <w:b w:val="0"/>
          <w:color w:val="000000"/>
          <w:sz w:val="18"/>
        </w:rPr>
        <w:t>它的產品價值在於「決策、執行邊界與證據互相綁定」。報告是重要產出，但不是終點；真正的差異化是報告可以直接成為受控的下一步，而不是讓人再把 AI 摘要手動翻譯成工程行動。</w:t>
      </w:r>
    </w:p>
    <w:p>
      <w:pPr>
        <w:pStyle w:val="Heading1"/>
      </w:pPr>
      <w:r>
        <w:rPr>
          <w:rFonts w:ascii="Arial" w:hAnsi="Arial" w:eastAsia="Arial Unicode MS"/>
          <w:b w:val="0"/>
          <w:color w:val="000000"/>
          <w:sz w:val="22"/>
        </w:rPr>
        <w:t>附件</w:t>
      </w:r>
    </w:p>
    <w:p>
      <w:pPr>
        <w:pStyle w:val="ListBullet"/>
      </w:pPr>
      <w:r>
        <w:rPr>
          <w:rFonts w:ascii="Courier New" w:hAnsi="Courier New" w:eastAsia="Arial Unicode MS"/>
          <w:b w:val="0"/>
          <w:color w:val="5B2C6F"/>
          <w:sz w:val="17"/>
        </w:rPr>
        <w:t>README.zh-TW.md</w:t>
      </w:r>
      <w:r>
        <w:rPr>
          <w:rFonts w:ascii="Arial" w:hAnsi="Arial" w:eastAsia="Arial Unicode MS"/>
          <w:b w:val="0"/>
          <w:color w:val="000000"/>
          <w:sz w:val="17"/>
        </w:rPr>
        <w:t>：角色化報告索引與 Single Source of Truth 規則。</w:t>
      </w:r>
    </w:p>
    <w:p>
      <w:pPr>
        <w:pStyle w:val="ListBullet"/>
      </w:pPr>
      <w:r>
        <w:rPr>
          <w:rFonts w:ascii="Courier New" w:hAnsi="Courier New" w:eastAsia="Arial Unicode MS"/>
          <w:b w:val="0"/>
          <w:color w:val="5B2C6F"/>
          <w:sz w:val="17"/>
        </w:rPr>
        <w:t>CANONICAL_DECISION_RECORD_HERO.example.json</w:t>
      </w:r>
      <w:r>
        <w:rPr>
          <w:rFonts w:ascii="Arial" w:hAnsi="Arial" w:eastAsia="Arial Unicode MS"/>
          <w:b w:val="0"/>
          <w:color w:val="000000"/>
          <w:sz w:val="17"/>
        </w:rPr>
        <w:t>：所有角色視圖的唯一事實來源。</w:t>
      </w:r>
    </w:p>
    <w:p>
      <w:pPr>
        <w:pStyle w:val="ListBullet"/>
      </w:pPr>
      <w:r>
        <w:rPr>
          <w:rFonts w:ascii="Courier New" w:hAnsi="Courier New" w:eastAsia="Arial Unicode MS"/>
          <w:b w:val="0"/>
          <w:color w:val="5B2C6F"/>
          <w:sz w:val="17"/>
        </w:rPr>
        <w:t>01_EXECUTIVE_CHANGE_DECISION_BRIEF_HERO.zh-TW.md</w:t>
      </w:r>
      <w:r>
        <w:rPr>
          <w:rFonts w:ascii="Arial" w:hAnsi="Arial" w:eastAsia="Arial Unicode MS"/>
          <w:b w:val="0"/>
          <w:color w:val="000000"/>
          <w:sz w:val="17"/>
        </w:rPr>
        <w:t>：主管／PM 白話版。</w:t>
      </w:r>
    </w:p>
    <w:p>
      <w:pPr>
        <w:pStyle w:val="ListBullet"/>
      </w:pPr>
      <w:r>
        <w:rPr>
          <w:rFonts w:ascii="Courier New" w:hAnsi="Courier New" w:eastAsia="Arial Unicode MS"/>
          <w:b w:val="0"/>
          <w:color w:val="5B2C6F"/>
          <w:sz w:val="17"/>
        </w:rPr>
        <w:t>02_TECHNICAL_ARCHITECTURE_COST_REPORT_HERO.zh-TW.md</w:t>
      </w:r>
      <w:r>
        <w:rPr>
          <w:rFonts w:ascii="Arial" w:hAnsi="Arial" w:eastAsia="Arial Unicode MS"/>
          <w:b w:val="0"/>
          <w:color w:val="000000"/>
          <w:sz w:val="17"/>
        </w:rPr>
        <w:t>：架構／成本版。</w:t>
      </w:r>
    </w:p>
    <w:p>
      <w:pPr>
        <w:pStyle w:val="ListBullet"/>
      </w:pPr>
      <w:r>
        <w:rPr>
          <w:rFonts w:ascii="Courier New" w:hAnsi="Courier New" w:eastAsia="Arial Unicode MS"/>
          <w:b w:val="0"/>
          <w:color w:val="5B2C6F"/>
          <w:sz w:val="17"/>
        </w:rPr>
        <w:t>03_IMPLEMENTATION_READINESS_HERO.zh-TW.md</w:t>
      </w:r>
      <w:r>
        <w:rPr>
          <w:rFonts w:ascii="Arial" w:hAnsi="Arial" w:eastAsia="Arial Unicode MS"/>
          <w:b w:val="0"/>
          <w:color w:val="000000"/>
          <w:sz w:val="17"/>
        </w:rPr>
        <w:t>：FDE／Implementation 缺資料與下一步版。</w:t>
      </w:r>
    </w:p>
    <w:p>
      <w:pPr>
        <w:pStyle w:val="ListBullet"/>
      </w:pPr>
      <w:r>
        <w:rPr>
          <w:rFonts w:ascii="Courier New" w:hAnsi="Courier New" w:eastAsia="Arial Unicode MS"/>
          <w:b w:val="0"/>
          <w:color w:val="5B2C6F"/>
          <w:sz w:val="17"/>
        </w:rPr>
        <w:t>AGENT_CONTEXT_PACK_HERO.example.json</w:t>
      </w:r>
      <w:r>
        <w:rPr>
          <w:rFonts w:ascii="Arial" w:hAnsi="Arial" w:eastAsia="Arial Unicode MS"/>
          <w:b w:val="0"/>
          <w:color w:val="000000"/>
          <w:sz w:val="17"/>
        </w:rPr>
        <w:t>：機器／Agent 讀取的 Context Pack。</w:t>
      </w:r>
    </w:p>
    <w:p>
      <w:pPr>
        <w:pStyle w:val="ListBullet"/>
      </w:pPr>
      <w:r>
        <w:rPr>
          <w:rFonts w:ascii="Courier New" w:hAnsi="Courier New" w:eastAsia="Arial Unicode MS"/>
          <w:b w:val="0"/>
          <w:color w:val="5B2C6F"/>
          <w:sz w:val="17"/>
        </w:rPr>
        <w:t>CANDIDATE_REVIEW_BLOCKED_HERO.example.json</w:t>
      </w:r>
      <w:r>
        <w:rPr>
          <w:rFonts w:ascii="Arial" w:hAnsi="Arial" w:eastAsia="Arial Unicode MS"/>
          <w:b w:val="0"/>
          <w:color w:val="000000"/>
          <w:sz w:val="17"/>
        </w:rPr>
        <w:t>：feature branch 越界時的阻擋結果。</w:t>
      </w:r>
    </w:p>
    <w:p>
      <w:pPr>
        <w:pStyle w:val="ListBullet"/>
      </w:pPr>
      <w:r>
        <w:rPr>
          <w:rFonts w:ascii="Courier New" w:hAnsi="Courier New" w:eastAsia="Arial Unicode MS"/>
          <w:b w:val="0"/>
          <w:color w:val="5B2C6F"/>
          <w:sz w:val="17"/>
        </w:rPr>
        <w:t>RELEASE_RECEIPT_HERO.example.json</w:t>
      </w:r>
      <w:r>
        <w:rPr>
          <w:rFonts w:ascii="Arial" w:hAnsi="Arial" w:eastAsia="Arial Unicode MS"/>
          <w:b w:val="0"/>
          <w:color w:val="000000"/>
          <w:sz w:val="17"/>
        </w:rPr>
        <w:t>：DevOps／SRE 使用的 staging receipt。</w:t>
      </w:r>
    </w:p>
    <w:sectPr w:rsidR="00FC693F" w:rsidRPr="0006063C" w:rsidSect="00034616">
      <w:footerReference w:type="default" r:id="rId9"/>
      <w:pgSz w:w="12240" w:h="15840"/>
      <w:pgMar w:top="749" w:right="893" w:bottom="792" w:left="893" w:header="720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 Unicode MS"/>
        <w:color w:val="6B7280"/>
        <w:sz w:val="15"/>
      </w:rPr>
      <w:t xml:space="preserve">ContextRail Hero Demo   |   示例資料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60"/>
      <w:jc w:val="left"/>
    </w:pPr>
    <w:rPr>
      <w:rFonts w:ascii="Arial" w:hAnsi="Arial" w:eastAsia="Arial Unicode MS" w:hint="eastAsi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/>
      <w:jc w:val="left"/>
      <w:outlineLvl w:val="0"/>
    </w:pPr>
    <w:rPr>
      <w:rFonts w:ascii="Arial" w:hAnsi="Arial" w:eastAsia="Arial Unicode MS" w:hint="eastAsia"/>
      <w:b/>
      <w:bCs/>
      <w:color w:val="23374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40"/>
      <w:jc w:val="left"/>
      <w:outlineLvl w:val="1"/>
    </w:pPr>
    <w:rPr>
      <w:rFonts w:ascii="Arial" w:hAnsi="Arial" w:eastAsia="Arial Unicode MS" w:hint="eastAsia"/>
      <w:b/>
      <w:bCs/>
      <w:color w:val="2337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80" w:after="40"/>
      <w:jc w:val="left"/>
      <w:outlineLvl w:val="2"/>
    </w:pPr>
    <w:rPr>
      <w:rFonts w:ascii="Arial" w:hAnsi="Arial" w:eastAsia="Arial Unicode MS" w:hint="eastAsia"/>
      <w:b/>
      <w:bCs/>
      <w:color w:val="23374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240" w:lineRule="auto"/>
      <w:contextualSpacing/>
      <w:jc w:val="left"/>
    </w:pPr>
    <w:rPr>
      <w:rFonts w:ascii="Arial" w:hAnsi="Arial" w:eastAsia="Arial Unicode MS" w:hint="eastAsia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00"/>
      <w:jc w:val="left"/>
    </w:pPr>
    <w:rPr>
      <w:rFonts w:ascii="Arial" w:hAnsi="Arial" w:eastAsia="Arial Unicode MS" w:hint="eastAsia"/>
      <w:i w:val="0"/>
      <w:iCs/>
      <w:color w:val="000000"/>
      <w:spacing w:val="15"/>
      <w:sz w:val="1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" w:line="240" w:lineRule="auto"/>
      <w:ind w:left="274" w:hanging="173"/>
      <w:contextualSpacing/>
      <w:jc w:val="left"/>
    </w:pPr>
    <w:rPr>
      <w:rFonts w:ascii="Arial" w:hAnsi="Arial" w:eastAsia="Arial Unicode MS" w:hint="eastAsia"/>
      <w:color w:val="000000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" w:line="240" w:lineRule="auto"/>
      <w:ind w:left="274" w:hanging="173"/>
      <w:contextualSpacing/>
      <w:jc w:val="left"/>
    </w:pPr>
    <w:rPr>
      <w:rFonts w:ascii="Arial" w:hAnsi="Arial" w:eastAsia="Arial Unicode MS" w:hint="eastAsia"/>
      <w:color w:val="000000"/>
      <w:sz w:val="1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ContextRail Hero Demo 工程決策報告包</dc:title>
  <dc:subject>Example Engineering Decision Pack with role-specific views</dc:subject>
  <dc:creator>ContextRail</dc:creator>
  <cp:keywords>Engineering Decision Record; Agent Context Pack; Cloud Run; release evidence</cp:keywords>
  <dc:description>Example-only artifact generated from canonical Markdown; source SHA256 0b106fe98760f37df6e0838e56fd0b3a41c6d47cc1b287bf993a9de18e2797a6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