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Handoff Guard 參賽與開發計劃書</w:t>
      </w:r>
    </w:p>
    <w:p>
      <w:pPr>
        <w:spacing w:after="100"/>
      </w:pPr>
      <w:r>
        <w:t>Google Cloud AI Builder Cup 2026</w:t>
      </w:r>
    </w:p>
    <w:p>
      <w:pPr>
        <w:spacing w:after="100"/>
      </w:pPr>
      <w:r>
        <w:t>Future of Work &amp; Enterprise Productivity</w:t>
      </w:r>
    </w:p>
    <w:p>
      <w:pPr>
        <w:spacing w:after="100"/>
      </w:pPr>
      <w:r>
        <w:t>版本 1.0　編製日期 2026 年 9 月 9 日　開發期間 9 月 9 日至 9 月 29 日</w:t>
      </w:r>
    </w:p>
    <w:p>
      <w:pPr>
        <w:spacing w:after="100"/>
      </w:pPr>
      <w:r>
        <w:t>規劃對象為 William 與一位隊友，共兩人。預定投入 160 人時，完成可在 Google Cloud 操作的原型、測試證據與英文交件材料。題目名稱與使用情境為本計劃的提案基準，產品需求由第一週訪談校正。</w:t>
      </w:r>
    </w:p>
    <w:p>
      <w:pPr>
        <w:pStyle w:val="Heading1"/>
      </w:pPr>
      <w:r>
        <w:t>01 計劃摘要與成功條件</w:t>
      </w:r>
    </w:p>
    <w:p>
      <w:r>
        <w:t>Handoff Guard 協助軟體導入與顧問服務團隊處理交付承諾的變更。使用者匯入已確認的交接文件、新郵件與既有任務，系統辨識期限、需求範圍及負責人的差異，顯示原文依據與受影響工作，再由專案負責人確認並更新任務。</w:t>
      </w:r>
    </w:p>
    <w:p>
      <w:r>
        <w:t>三週的主要交付是一條可驗證的完整流程：匯入資料、分析變更、查看依據、確認提案、保存任務更新、查閱執行結果。第一版以應用內的任務資料庫完成實際寫入；Google Sheets 串接列為有剩餘容量時的擴充。</w:t>
      </w:r>
    </w:p>
    <w:p>
      <w:r>
        <w:t>本計劃的競爭假設是，文件之間的衝突、未正式接受的要求，以及資料改版後失效的核准，是一般交接整理容易遺漏的部分。這個假設需透過使用者訪談和比較測試驗證。所有效率、正確率及成本數字均為規劃目標或預算，尚無產品實測成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390"/>
        <w:gridCol w:w="7776"/>
      </w:tblGrid>
      <w:tr>
        <w:trPr>
          <w:cantSplit/>
          <w:tblHeader/>
        </w:trPr>
        <w:tc>
          <w:tcPr>
            <w:tcW w:type="dxa" w:w="2390"/>
            <w:vAlign w:val="center"/>
            <w:shd w:fill="173B55"/>
          </w:tcPr>
          <w:p>
            <w:pPr>
              <w:keepNext/>
              <w:spacing w:before="0" w:after="0" w:line="283" w:lineRule="auto"/>
              <w:jc w:val="left"/>
            </w:pPr>
            <w:r>
              <w:rPr>
                <w:b/>
                <w:color w:val="FFFFFF"/>
                <w:sz w:val="20"/>
              </w:rPr>
              <w:t>項目</w:t>
            </w:r>
          </w:p>
        </w:tc>
        <w:tc>
          <w:tcPr>
            <w:tcW w:type="dxa" w:w="7776"/>
            <w:vAlign w:val="center"/>
            <w:shd w:fill="173B55"/>
          </w:tcPr>
          <w:p>
            <w:pPr>
              <w:keepNext/>
              <w:spacing w:before="0" w:after="0" w:line="283" w:lineRule="auto"/>
              <w:jc w:val="left"/>
            </w:pPr>
            <w:r>
              <w:rPr>
                <w:b/>
                <w:color w:val="FFFFFF"/>
                <w:sz w:val="20"/>
              </w:rPr>
              <w:t>本次規劃</w:t>
            </w:r>
          </w:p>
        </w:tc>
      </w:tr>
      <w:tr>
        <w:trPr>
          <w:cantSplit/>
        </w:trPr>
        <w:tc>
          <w:tcPr>
            <w:tcW w:type="dxa" w:w="2390"/>
            <w:vAlign w:val="center"/>
            <w:shd w:fill="F3F6F8"/>
          </w:tcPr>
          <w:p>
            <w:pPr>
              <w:keepNext w:val="0"/>
              <w:spacing w:before="0" w:after="0" w:line="283" w:lineRule="auto"/>
              <w:jc w:val="left"/>
            </w:pPr>
            <w:r>
              <w:rPr>
                <w:sz w:val="20"/>
              </w:rPr>
              <w:t>主要使用者</w:t>
            </w:r>
          </w:p>
        </w:tc>
        <w:tc>
          <w:tcPr>
            <w:tcW w:type="dxa" w:w="7776"/>
            <w:vAlign w:val="center"/>
            <w:shd w:fill="F3F6F8"/>
          </w:tcPr>
          <w:p>
            <w:pPr>
              <w:keepNext w:val="0"/>
              <w:spacing w:before="0" w:after="0" w:line="283" w:lineRule="auto"/>
              <w:jc w:val="left"/>
            </w:pPr>
            <w:r>
              <w:rPr>
                <w:sz w:val="20"/>
              </w:rPr>
              <w:t>軟體導入或顧問服務公司的專案經理</w:t>
            </w:r>
          </w:p>
        </w:tc>
      </w:tr>
      <w:tr>
        <w:trPr>
          <w:cantSplit/>
        </w:trPr>
        <w:tc>
          <w:tcPr>
            <w:tcW w:type="dxa" w:w="2390"/>
            <w:vAlign w:val="center"/>
            <w:shd w:fill="FFFFFF"/>
          </w:tcPr>
          <w:p>
            <w:pPr>
              <w:keepNext w:val="0"/>
              <w:spacing w:before="0" w:after="0" w:line="283" w:lineRule="auto"/>
              <w:jc w:val="left"/>
            </w:pPr>
            <w:r>
              <w:rPr>
                <w:sz w:val="20"/>
              </w:rPr>
              <w:t>第一個工作場景</w:t>
            </w:r>
          </w:p>
        </w:tc>
        <w:tc>
          <w:tcPr>
            <w:tcW w:type="dxa" w:w="7776"/>
            <w:vAlign w:val="center"/>
            <w:shd w:fill="FFFFFF"/>
          </w:tcPr>
          <w:p>
            <w:pPr>
              <w:keepNext w:val="0"/>
              <w:spacing w:before="0" w:after="0" w:line="283" w:lineRule="auto"/>
              <w:jc w:val="left"/>
            </w:pPr>
            <w:r>
              <w:rPr>
                <w:sz w:val="20"/>
              </w:rPr>
              <w:t>業務交接後，客戶提出交期或範圍變更</w:t>
            </w:r>
          </w:p>
        </w:tc>
      </w:tr>
      <w:tr>
        <w:trPr>
          <w:cantSplit/>
        </w:trPr>
        <w:tc>
          <w:tcPr>
            <w:tcW w:type="dxa" w:w="2390"/>
            <w:vAlign w:val="center"/>
            <w:shd w:fill="F3F6F8"/>
          </w:tcPr>
          <w:p>
            <w:pPr>
              <w:keepNext w:val="0"/>
              <w:spacing w:before="0" w:after="0" w:line="283" w:lineRule="auto"/>
              <w:jc w:val="left"/>
            </w:pPr>
            <w:r>
              <w:rPr>
                <w:sz w:val="20"/>
              </w:rPr>
              <w:t>核心輸入</w:t>
            </w:r>
          </w:p>
        </w:tc>
        <w:tc>
          <w:tcPr>
            <w:tcW w:type="dxa" w:w="7776"/>
            <w:vAlign w:val="center"/>
            <w:shd w:fill="F3F6F8"/>
          </w:tcPr>
          <w:p>
            <w:pPr>
              <w:keepNext w:val="0"/>
              <w:spacing w:before="0" w:after="0" w:line="283" w:lineRule="auto"/>
              <w:jc w:val="left"/>
            </w:pPr>
            <w:r>
              <w:rPr>
                <w:sz w:val="20"/>
              </w:rPr>
              <w:t>文字型 PDF、郵件文字、固定格式任務清單</w:t>
            </w:r>
          </w:p>
        </w:tc>
      </w:tr>
      <w:tr>
        <w:trPr>
          <w:cantSplit/>
        </w:trPr>
        <w:tc>
          <w:tcPr>
            <w:tcW w:type="dxa" w:w="2390"/>
            <w:vAlign w:val="center"/>
            <w:shd w:fill="FFFFFF"/>
          </w:tcPr>
          <w:p>
            <w:pPr>
              <w:keepNext w:val="0"/>
              <w:spacing w:before="0" w:after="0" w:line="283" w:lineRule="auto"/>
              <w:jc w:val="left"/>
            </w:pPr>
            <w:r>
              <w:rPr>
                <w:sz w:val="20"/>
              </w:rPr>
              <w:t>核心輸出</w:t>
            </w:r>
          </w:p>
        </w:tc>
        <w:tc>
          <w:tcPr>
            <w:tcW w:type="dxa" w:w="7776"/>
            <w:vAlign w:val="center"/>
            <w:shd w:fill="FFFFFF"/>
          </w:tcPr>
          <w:p>
            <w:pPr>
              <w:keepNext w:val="0"/>
              <w:spacing w:before="0" w:after="0" w:line="283" w:lineRule="auto"/>
              <w:jc w:val="left"/>
            </w:pPr>
            <w:r>
              <w:rPr>
                <w:sz w:val="20"/>
              </w:rPr>
              <w:t>有來源依據的變更提案、待澄清事項、任務更新紀錄</w:t>
            </w:r>
          </w:p>
        </w:tc>
      </w:tr>
      <w:tr>
        <w:trPr>
          <w:cantSplit/>
        </w:trPr>
        <w:tc>
          <w:tcPr>
            <w:tcW w:type="dxa" w:w="2390"/>
            <w:vAlign w:val="center"/>
            <w:shd w:fill="F3F6F8"/>
          </w:tcPr>
          <w:p>
            <w:pPr>
              <w:keepNext w:val="0"/>
              <w:spacing w:before="0" w:after="0" w:line="283" w:lineRule="auto"/>
              <w:jc w:val="left"/>
            </w:pPr>
            <w:r>
              <w:rPr>
                <w:sz w:val="20"/>
              </w:rPr>
              <w:t>內部完成日</w:t>
            </w:r>
          </w:p>
        </w:tc>
        <w:tc>
          <w:tcPr>
            <w:tcW w:type="dxa" w:w="7776"/>
            <w:vAlign w:val="center"/>
            <w:shd w:fill="F3F6F8"/>
          </w:tcPr>
          <w:p>
            <w:pPr>
              <w:keepNext w:val="0"/>
              <w:spacing w:before="0" w:after="0" w:line="283" w:lineRule="auto"/>
              <w:jc w:val="left"/>
            </w:pPr>
            <w:r>
              <w:rPr>
                <w:sz w:val="20"/>
              </w:rPr>
              <w:t>2026 年 9 月 29 日</w:t>
            </w:r>
          </w:p>
        </w:tc>
      </w:tr>
      <w:tr>
        <w:trPr>
          <w:cantSplit/>
        </w:trPr>
        <w:tc>
          <w:tcPr>
            <w:tcW w:type="dxa" w:w="2390"/>
            <w:vAlign w:val="center"/>
            <w:shd w:fill="FFFFFF"/>
          </w:tcPr>
          <w:p>
            <w:pPr>
              <w:keepNext w:val="0"/>
              <w:spacing w:before="0" w:after="0" w:line="283" w:lineRule="auto"/>
              <w:jc w:val="left"/>
            </w:pPr>
            <w:r>
              <w:rPr>
                <w:sz w:val="20"/>
              </w:rPr>
              <w:t>第一週里程碑</w:t>
            </w:r>
          </w:p>
        </w:tc>
        <w:tc>
          <w:tcPr>
            <w:tcW w:type="dxa" w:w="7776"/>
            <w:vAlign w:val="center"/>
            <w:shd w:fill="FFFFFF"/>
          </w:tcPr>
          <w:p>
            <w:pPr>
              <w:keepNext w:val="0"/>
              <w:spacing w:before="0" w:after="0" w:line="283" w:lineRule="auto"/>
              <w:jc w:val="left"/>
            </w:pPr>
            <w:r>
              <w:rPr>
                <w:sz w:val="20"/>
              </w:rPr>
              <w:t>雲端網址能分析一個未預先寫死的案例</w:t>
            </w:r>
          </w:p>
        </w:tc>
      </w:tr>
      <w:tr>
        <w:trPr>
          <w:cantSplit/>
        </w:trPr>
        <w:tc>
          <w:tcPr>
            <w:tcW w:type="dxa" w:w="2390"/>
            <w:vAlign w:val="center"/>
            <w:shd w:fill="F3F6F8"/>
          </w:tcPr>
          <w:p>
            <w:pPr>
              <w:keepNext w:val="0"/>
              <w:spacing w:before="0" w:after="0" w:line="283" w:lineRule="auto"/>
              <w:jc w:val="left"/>
            </w:pPr>
            <w:r>
              <w:rPr>
                <w:sz w:val="20"/>
              </w:rPr>
              <w:t>第二週里程碑</w:t>
            </w:r>
          </w:p>
        </w:tc>
        <w:tc>
          <w:tcPr>
            <w:tcW w:type="dxa" w:w="7776"/>
            <w:vAlign w:val="center"/>
            <w:shd w:fill="F3F6F8"/>
          </w:tcPr>
          <w:p>
            <w:pPr>
              <w:keepNext w:val="0"/>
              <w:spacing w:before="0" w:after="0" w:line="283" w:lineRule="auto"/>
              <w:jc w:val="left"/>
            </w:pPr>
            <w:r>
              <w:rPr>
                <w:sz w:val="20"/>
              </w:rPr>
              <w:t>完成身分檢查、人工確認及持久化任務更新</w:t>
            </w:r>
          </w:p>
        </w:tc>
      </w:tr>
      <w:tr>
        <w:trPr>
          <w:cantSplit/>
        </w:trPr>
        <w:tc>
          <w:tcPr>
            <w:tcW w:type="dxa" w:w="2390"/>
            <w:vAlign w:val="center"/>
            <w:shd w:fill="FFFFFF"/>
          </w:tcPr>
          <w:p>
            <w:pPr>
              <w:keepNext w:val="0"/>
              <w:spacing w:before="0" w:after="0" w:line="283" w:lineRule="auto"/>
              <w:jc w:val="left"/>
            </w:pPr>
            <w:r>
              <w:rPr>
                <w:sz w:val="20"/>
              </w:rPr>
              <w:t>第三週里程碑</w:t>
            </w:r>
          </w:p>
        </w:tc>
        <w:tc>
          <w:tcPr>
            <w:tcW w:type="dxa" w:w="7776"/>
            <w:vAlign w:val="center"/>
            <w:shd w:fill="FFFFFF"/>
          </w:tcPr>
          <w:p>
            <w:pPr>
              <w:keepNext w:val="0"/>
              <w:spacing w:before="0" w:after="0" w:line="283" w:lineRule="auto"/>
              <w:jc w:val="left"/>
            </w:pPr>
            <w:r>
              <w:rPr>
                <w:sz w:val="20"/>
              </w:rPr>
              <w:t>完成保留案例評估、英文材料及交件檢查</w:t>
            </w:r>
          </w:p>
        </w:tc>
      </w:tr>
    </w:tbl>
    <w:p>
      <w:pPr>
        <w:spacing w:after="60" w:before="0" w:line="240" w:lineRule="auto"/>
      </w:pPr>
      <w:r>
        <w:rPr>
          <w:sz w:val="6"/>
        </w:rPr>
      </w:r>
    </w:p>
    <w:p>
      <w:r>
        <w:t>成功判定包含兩個層面。工程上，核心流程、權限、版本檢查及防重複更新必須通過驗收。產品上，須如實呈現與人工及直接使用模型的比較；若未達效率或品質目標，交件材料必須保留實測值與限制。</w:t>
      </w:r>
    </w:p>
    <w:p>
      <w:r>
        <w:t>主要未定事項為兩位成員的實際工時分配、可訪談的使用者、Google Cloud 帳號與模型可用性，以及主辦方對日期、智財與通用套件使用的說明。這些事項納入第一週的工作，不視為已完成。</w:t>
      </w:r>
    </w:p>
    <w:p>
      <w:pPr>
        <w:pStyle w:val="Heading1"/>
      </w:pPr>
      <w:r>
        <w:t>02 參賽規則與交件策略</w:t>
      </w:r>
    </w:p>
    <w:p>
      <w:r>
        <w:t>官方 FAQ 要求提交可運作的雲端網址、公開 GitHub 原始碼、少於三分鐘的影片及簡報；原型須能端到端操作。</w:t>
      </w:r>
      <w:hyperlink r:id="rId10">
        <w:r>
          <w:rPr>
            <w:rFonts w:ascii="Arial" w:hAnsi="Arial" w:eastAsia="Heiti TC"/>
            <w:color w:val="235B7A"/>
            <w:u w:val="single"/>
          </w:rPr>
          <w:t>官方 FAQ</w:t>
        </w:r>
      </w:hyperlink>
      <w:r>
        <w:t xml:space="preserve"> 主題頁另規定使用 Google AI 模型或指定平台，部署於 Cloud Run 或 Firebase，並以英文提交材料；簡報轉為 PDF。</w:t>
      </w:r>
      <w:hyperlink r:id="rId11">
        <w:r>
          <w:rPr>
            <w:rFonts w:ascii="Arial" w:hAnsi="Arial" w:eastAsia="Heiti TC"/>
            <w:color w:val="235B7A"/>
            <w:u w:val="single"/>
          </w:rPr>
          <w:t>主題與技術要求</w:t>
        </w:r>
      </w:hyperlink>
    </w:p>
    <w:p>
      <w:r>
        <w:t>兩人符合 2 至 4 人的團隊範圍，但每位成員仍須年滿 21 歲、實際居住且合法居留於 JAPAC 地區，並符合在職人士、創業者或新創團隊身分。正式條款排除全職與兼職學生，並要求比賽期間全新開發。</w:t>
      </w:r>
      <w:hyperlink r:id="rId12">
        <w:r>
          <w:rPr>
            <w:rFonts w:ascii="Arial" w:hAnsi="Arial" w:eastAsia="Heiti TC"/>
            <w:color w:val="235B7A"/>
            <w:u w:val="single"/>
          </w:rPr>
          <w:t>正式條款</w:t>
        </w:r>
      </w:hyperlink>
    </w:p>
    <w:p>
      <w:r>
        <w:t>首頁同時列出 9 月 30 日報名節點、10 月 3 日原型製作節點及 10 月 4 日總截止日；截止時區需向主辦方確認。計劃因此以 9 月 29 日作內部完成日。官方評審期為 10 月 5 日至 11 月 6 日，11 月 7 日公布入圍，12 月 4 日在新加坡決賽。</w:t>
      </w:r>
      <w:hyperlink r:id="rId13">
        <w:r>
          <w:rPr>
            <w:rFonts w:ascii="Arial" w:hAnsi="Arial" w:eastAsia="Heiti TC"/>
            <w:color w:val="235B7A"/>
            <w:u w:val="single"/>
          </w:rPr>
          <w:t>官方時程</w:t>
        </w:r>
      </w:hyperlink>
    </w:p>
    <w:p>
      <w:pPr>
        <w:pStyle w:val="Heading2"/>
      </w:pPr>
      <w:r>
        <w:t>智財與新作範圍</w:t>
      </w:r>
    </w:p>
    <w:p>
      <w:r>
        <w:t>智財條款包含賽後六個月的優先權與 30 天回覆安排，涉及提交材料的獨家授權及相關權利對第三方交易，也包含展示與行銷授權。由隊長取得主辦方對具體適用範圍的書面說明，再決定作品的公開與商品化安排；若涉及核心商業資產，另請專業人士審閱。</w:t>
      </w:r>
      <w:hyperlink r:id="rId12">
        <w:r>
          <w:rPr>
            <w:rFonts w:ascii="Arial" w:hAnsi="Arial" w:eastAsia="Heiti TC"/>
            <w:color w:val="235B7A"/>
            <w:u w:val="single"/>
          </w:rPr>
          <w:t>智財條款</w:t>
        </w:r>
      </w:hyperlink>
    </w:p>
    <w:p>
      <w:r>
        <w:t>參賽原型使用本次新寫的產品程式碼與素材，保留正常的 Git 開發歷史及來源紀錄。通用開源套件、官方 SDK、樣板與 AI 輔助開發的允許範圍，列入主辦方詢問清單。公開交件採明確檔案清單；中文規劃文件供團隊執行，正式參賽文件另以英文整理。</w:t>
      </w:r>
    </w:p>
    <w:p>
      <w:pPr>
        <w:pStyle w:val="Heading2"/>
      </w:pPr>
      <w:r>
        <w:t>評分對應</w:t>
      </w:r>
    </w:p>
    <w:p>
      <w:r>
        <w:t>官方比重如下；右欄是本計劃安排的證據。</w:t>
      </w:r>
      <w:hyperlink r:id="rId11">
        <w:r>
          <w:rPr>
            <w:rFonts w:ascii="Arial" w:hAnsi="Arial" w:eastAsia="Heiti TC"/>
            <w:color w:val="235B7A"/>
            <w:u w:val="single"/>
          </w:rPr>
          <w:t>評分標準</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880"/>
        <w:gridCol w:w="936"/>
        <w:gridCol w:w="6350"/>
      </w:tblGrid>
      <w:tr>
        <w:trPr>
          <w:cantSplit/>
          <w:tblHeader/>
        </w:trPr>
        <w:tc>
          <w:tcPr>
            <w:tcW w:type="dxa" w:w="2880"/>
            <w:vAlign w:val="center"/>
            <w:shd w:fill="173B55"/>
          </w:tcPr>
          <w:p>
            <w:pPr>
              <w:keepNext/>
              <w:spacing w:before="0" w:after="0" w:line="283" w:lineRule="auto"/>
              <w:jc w:val="left"/>
            </w:pPr>
            <w:r>
              <w:rPr>
                <w:b/>
                <w:color w:val="FFFFFF"/>
                <w:sz w:val="20"/>
              </w:rPr>
              <w:t>項目</w:t>
            </w:r>
          </w:p>
        </w:tc>
        <w:tc>
          <w:tcPr>
            <w:tcW w:type="dxa" w:w="936"/>
            <w:vAlign w:val="center"/>
            <w:shd w:fill="173B55"/>
          </w:tcPr>
          <w:p>
            <w:pPr>
              <w:keepNext/>
              <w:spacing w:before="0" w:after="0" w:line="283" w:lineRule="auto"/>
              <w:jc w:val="center"/>
            </w:pPr>
            <w:r>
              <w:rPr>
                <w:b/>
                <w:color w:val="FFFFFF"/>
                <w:sz w:val="20"/>
              </w:rPr>
              <w:t>比重</w:t>
            </w:r>
          </w:p>
        </w:tc>
        <w:tc>
          <w:tcPr>
            <w:tcW w:type="dxa" w:w="6350"/>
            <w:vAlign w:val="center"/>
            <w:shd w:fill="173B55"/>
          </w:tcPr>
          <w:p>
            <w:pPr>
              <w:keepNext/>
              <w:spacing w:before="0" w:after="0" w:line="283" w:lineRule="auto"/>
              <w:jc w:val="left"/>
            </w:pPr>
            <w:r>
              <w:rPr>
                <w:b/>
                <w:color w:val="FFFFFF"/>
                <w:sz w:val="20"/>
              </w:rPr>
              <w:t>本計劃的呈現方式</w:t>
            </w:r>
          </w:p>
        </w:tc>
      </w:tr>
      <w:tr>
        <w:trPr>
          <w:cantSplit/>
        </w:trPr>
        <w:tc>
          <w:tcPr>
            <w:tcW w:type="dxa" w:w="2880"/>
            <w:vAlign w:val="center"/>
            <w:shd w:fill="F3F6F8"/>
          </w:tcPr>
          <w:p>
            <w:pPr>
              <w:keepNext w:val="0"/>
              <w:spacing w:before="0" w:after="0" w:line="283" w:lineRule="auto"/>
              <w:jc w:val="left"/>
            </w:pPr>
            <w:r>
              <w:rPr>
                <w:sz w:val="20"/>
              </w:rPr>
              <w:t>技術與生成式 AI 實作</w:t>
            </w:r>
          </w:p>
        </w:tc>
        <w:tc>
          <w:tcPr>
            <w:tcW w:type="dxa" w:w="936"/>
            <w:vAlign w:val="center"/>
            <w:shd w:fill="F3F6F8"/>
          </w:tcPr>
          <w:p>
            <w:pPr>
              <w:keepNext w:val="0"/>
              <w:spacing w:before="0" w:after="0" w:line="283" w:lineRule="auto"/>
              <w:jc w:val="center"/>
            </w:pPr>
            <w:r>
              <w:rPr>
                <w:sz w:val="20"/>
              </w:rPr>
              <w:t>40%</w:t>
            </w:r>
          </w:p>
        </w:tc>
        <w:tc>
          <w:tcPr>
            <w:tcW w:type="dxa" w:w="6350"/>
            <w:vAlign w:val="center"/>
            <w:shd w:fill="F3F6F8"/>
          </w:tcPr>
          <w:p>
            <w:pPr>
              <w:keepNext w:val="0"/>
              <w:spacing w:before="0" w:after="0" w:line="283" w:lineRule="auto"/>
              <w:jc w:val="left"/>
            </w:pPr>
            <w:r>
              <w:rPr>
                <w:sz w:val="20"/>
              </w:rPr>
              <w:t>真實模型呼叫、完整工作流程、版本與交易測試</w:t>
            </w:r>
          </w:p>
        </w:tc>
      </w:tr>
      <w:tr>
        <w:trPr>
          <w:cantSplit/>
        </w:trPr>
        <w:tc>
          <w:tcPr>
            <w:tcW w:type="dxa" w:w="2880"/>
            <w:vAlign w:val="center"/>
            <w:shd w:fill="FFFFFF"/>
          </w:tcPr>
          <w:p>
            <w:pPr>
              <w:keepNext w:val="0"/>
              <w:spacing w:before="0" w:after="0" w:line="283" w:lineRule="auto"/>
              <w:jc w:val="left"/>
            </w:pPr>
            <w:r>
              <w:rPr>
                <w:sz w:val="20"/>
              </w:rPr>
              <w:t>問題契合與影響</w:t>
            </w:r>
          </w:p>
        </w:tc>
        <w:tc>
          <w:tcPr>
            <w:tcW w:type="dxa" w:w="936"/>
            <w:vAlign w:val="center"/>
            <w:shd w:fill="FFFFFF"/>
          </w:tcPr>
          <w:p>
            <w:pPr>
              <w:keepNext w:val="0"/>
              <w:spacing w:before="0" w:after="0" w:line="283" w:lineRule="auto"/>
              <w:jc w:val="center"/>
            </w:pPr>
            <w:r>
              <w:rPr>
                <w:sz w:val="20"/>
              </w:rPr>
              <w:t>25%</w:t>
            </w:r>
          </w:p>
        </w:tc>
        <w:tc>
          <w:tcPr>
            <w:tcW w:type="dxa" w:w="6350"/>
            <w:vAlign w:val="center"/>
            <w:shd w:fill="FFFFFF"/>
          </w:tcPr>
          <w:p>
            <w:pPr>
              <w:keepNext w:val="0"/>
              <w:spacing w:before="0" w:after="0" w:line="283" w:lineRule="auto"/>
              <w:jc w:val="left"/>
            </w:pPr>
            <w:r>
              <w:rPr>
                <w:sz w:val="20"/>
              </w:rPr>
              <w:t>訪談紀錄、人工基線、處理時間與遺漏比較</w:t>
            </w:r>
          </w:p>
        </w:tc>
      </w:tr>
      <w:tr>
        <w:trPr>
          <w:cantSplit/>
        </w:trPr>
        <w:tc>
          <w:tcPr>
            <w:tcW w:type="dxa" w:w="2880"/>
            <w:vAlign w:val="center"/>
            <w:shd w:fill="F3F6F8"/>
          </w:tcPr>
          <w:p>
            <w:pPr>
              <w:keepNext w:val="0"/>
              <w:spacing w:before="0" w:after="0" w:line="283" w:lineRule="auto"/>
              <w:jc w:val="left"/>
            </w:pPr>
            <w:r>
              <w:rPr>
                <w:sz w:val="20"/>
              </w:rPr>
              <w:t>創新與差異化</w:t>
            </w:r>
          </w:p>
        </w:tc>
        <w:tc>
          <w:tcPr>
            <w:tcW w:type="dxa" w:w="936"/>
            <w:vAlign w:val="center"/>
            <w:shd w:fill="F3F6F8"/>
          </w:tcPr>
          <w:p>
            <w:pPr>
              <w:keepNext w:val="0"/>
              <w:spacing w:before="0" w:after="0" w:line="283" w:lineRule="auto"/>
              <w:jc w:val="center"/>
            </w:pPr>
            <w:r>
              <w:rPr>
                <w:sz w:val="20"/>
              </w:rPr>
              <w:t>25%</w:t>
            </w:r>
          </w:p>
        </w:tc>
        <w:tc>
          <w:tcPr>
            <w:tcW w:type="dxa" w:w="6350"/>
            <w:vAlign w:val="center"/>
            <w:shd w:fill="F3F6F8"/>
          </w:tcPr>
          <w:p>
            <w:pPr>
              <w:keepNext w:val="0"/>
              <w:spacing w:before="0" w:after="0" w:line="283" w:lineRule="auto"/>
              <w:jc w:val="left"/>
            </w:pPr>
            <w:r>
              <w:rPr>
                <w:sz w:val="20"/>
              </w:rPr>
              <w:t>衝突案例、承諾狀態區分、與直接使用 Gemini 的比較</w:t>
            </w:r>
          </w:p>
        </w:tc>
      </w:tr>
      <w:tr>
        <w:trPr>
          <w:cantSplit/>
        </w:trPr>
        <w:tc>
          <w:tcPr>
            <w:tcW w:type="dxa" w:w="2880"/>
            <w:vAlign w:val="center"/>
            <w:shd w:fill="FFFFFF"/>
          </w:tcPr>
          <w:p>
            <w:pPr>
              <w:keepNext w:val="0"/>
              <w:spacing w:before="0" w:after="0" w:line="283" w:lineRule="auto"/>
              <w:jc w:val="left"/>
            </w:pPr>
            <w:r>
              <w:rPr>
                <w:sz w:val="20"/>
              </w:rPr>
              <w:t>使用體驗與設計</w:t>
            </w:r>
          </w:p>
        </w:tc>
        <w:tc>
          <w:tcPr>
            <w:tcW w:type="dxa" w:w="936"/>
            <w:vAlign w:val="center"/>
            <w:shd w:fill="FFFFFF"/>
          </w:tcPr>
          <w:p>
            <w:pPr>
              <w:keepNext w:val="0"/>
              <w:spacing w:before="0" w:after="0" w:line="283" w:lineRule="auto"/>
              <w:jc w:val="center"/>
            </w:pPr>
            <w:r>
              <w:rPr>
                <w:sz w:val="20"/>
              </w:rPr>
              <w:t>10%</w:t>
            </w:r>
          </w:p>
        </w:tc>
        <w:tc>
          <w:tcPr>
            <w:tcW w:type="dxa" w:w="6350"/>
            <w:vAlign w:val="center"/>
            <w:shd w:fill="FFFFFF"/>
          </w:tcPr>
          <w:p>
            <w:pPr>
              <w:keepNext w:val="0"/>
              <w:spacing w:before="0" w:after="0" w:line="283" w:lineRule="auto"/>
              <w:jc w:val="left"/>
            </w:pPr>
            <w:r>
              <w:rPr>
                <w:sz w:val="20"/>
              </w:rPr>
              <w:t>清楚的來源、提案編輯、確認及結果畫面</w:t>
            </w:r>
          </w:p>
        </w:tc>
      </w:tr>
    </w:tbl>
    <w:p>
      <w:pPr>
        <w:spacing w:after="60" w:before="0" w:line="240" w:lineRule="auto"/>
      </w:pPr>
      <w:r>
        <w:rPr>
          <w:sz w:val="6"/>
        </w:rPr>
      </w:r>
    </w:p>
    <w:p>
      <w:pPr>
        <w:pStyle w:val="Heading1"/>
      </w:pPr>
      <w:r>
        <w:t>03 使用者與問題驗證</w:t>
      </w:r>
    </w:p>
    <w:p>
      <w:r>
        <w:t>首要使用者是同時閱讀交接文件、回覆客戶並調整工作清單的專案經理。團隊主管或服務交付主管是潛在採購決策者。目標公司的規模、案件量和付費意願屬市場假設，第一週不以未驗證的市場數字作產品決策。</w:t>
      </w:r>
    </w:p>
    <w:p>
      <w:r>
        <w:t>第一個情境限定為一個專案收到新要求後的交付變更。常見問題包括同一交期出現在不同文件中、額外功能沒有更新工作清單、責任歸屬不明，以及新的客戶要求被誤當成已接受的承諾。產品需要辨識這些狀態並支持負責人決策。</w:t>
      </w:r>
    </w:p>
    <w:p>
      <w:pPr>
        <w:pStyle w:val="Heading2"/>
      </w:pPr>
      <w:r>
        <w:t>第一週訪談</w:t>
      </w:r>
    </w:p>
    <w:p>
      <w:r>
        <w:t>預約三位有實際交接經驗的 PM 或服務負責人，每人約 25 分鐘，請對方重述最近一次案例。取得同意後記錄流程、耗時、遺漏及後果；公開資料另行處理授權。</w:t>
      </w:r>
    </w:p>
    <w:p>
      <w:pPr>
        <w:ind w:left="331" w:hanging="331"/>
      </w:pPr>
      <w:r>
        <w:t>1. 最近一次客戶改交期或增加需求時，資訊散落在哪些地方？</w:t>
      </w:r>
    </w:p>
    <w:p>
      <w:pPr>
        <w:ind w:left="331" w:hanging="331"/>
      </w:pPr>
      <w:r>
        <w:t>2. 誰決定是否接受變更，接受後由誰更新任務？</w:t>
      </w:r>
    </w:p>
    <w:p>
      <w:pPr>
        <w:ind w:left="331" w:hanging="331"/>
      </w:pPr>
      <w:r>
        <w:t>3. 整理到可以做決定大約花多久，哪些步驟最耗時間？</w:t>
      </w:r>
    </w:p>
    <w:p>
      <w:pPr>
        <w:ind w:left="331" w:hanging="331"/>
      </w:pPr>
      <w:r>
        <w:t>4. 曾漏掉什麼內容，後續造成哪些返工或協調？</w:t>
      </w:r>
    </w:p>
    <w:p>
      <w:pPr>
        <w:ind w:left="331" w:hanging="331"/>
      </w:pPr>
      <w:r>
        <w:t>5. 什麼依據會讓你信任系統的提醒，什麼情況一定要自行查原文？</w:t>
      </w:r>
    </w:p>
    <w:p>
      <w:pPr>
        <w:ind w:left="331" w:hanging="331"/>
      </w:pPr>
      <w:r>
        <w:t>6. 願不願意用一個合成或經授權處理的案例試用，並再次回饋？</w:t>
      </w:r>
    </w:p>
    <w:p>
      <w:r>
        <w:t>選題確認目標為：至少兩位受訪者能描述反覆出現的相似問題，至少一位願意試用，且能整理三個足以重現痛點的案例。這是內部選題標準，不能當成市場普遍性的證明。若缺乏外部使用者，改由兩位成員以自身可描述的真實流程建立案例，並在成果中標示便利樣本的限制。</w:t>
      </w:r>
    </w:p>
    <w:p>
      <w:pPr>
        <w:pStyle w:val="Heading2"/>
      </w:pPr>
      <w:r>
        <w:t>競爭基線與差異假設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232"/>
        <w:gridCol w:w="3888"/>
        <w:gridCol w:w="4046"/>
      </w:tblGrid>
      <w:tr>
        <w:trPr>
          <w:cantSplit/>
          <w:tblHeader/>
        </w:trPr>
        <w:tc>
          <w:tcPr>
            <w:tcW w:type="dxa" w:w="2232"/>
            <w:vAlign w:val="center"/>
            <w:shd w:fill="173B55"/>
          </w:tcPr>
          <w:p>
            <w:pPr>
              <w:keepNext/>
              <w:spacing w:before="0" w:after="0" w:line="283" w:lineRule="auto"/>
              <w:jc w:val="left"/>
            </w:pPr>
            <w:r>
              <w:rPr>
                <w:b/>
                <w:color w:val="FFFFFF"/>
                <w:sz w:val="20"/>
              </w:rPr>
              <w:t>既有方案</w:t>
            </w:r>
          </w:p>
        </w:tc>
        <w:tc>
          <w:tcPr>
            <w:tcW w:type="dxa" w:w="3888"/>
            <w:vAlign w:val="center"/>
            <w:shd w:fill="173B55"/>
          </w:tcPr>
          <w:p>
            <w:pPr>
              <w:keepNext/>
              <w:spacing w:before="0" w:after="0" w:line="283" w:lineRule="auto"/>
              <w:jc w:val="left"/>
            </w:pPr>
            <w:r>
              <w:rPr>
                <w:b/>
                <w:color w:val="FFFFFF"/>
                <w:sz w:val="20"/>
              </w:rPr>
              <w:t>已公開涵蓋的能力</w:t>
            </w:r>
          </w:p>
        </w:tc>
        <w:tc>
          <w:tcPr>
            <w:tcW w:type="dxa" w:w="4046"/>
            <w:vAlign w:val="center"/>
            <w:shd w:fill="173B55"/>
          </w:tcPr>
          <w:p>
            <w:pPr>
              <w:keepNext/>
              <w:spacing w:before="0" w:after="0" w:line="283" w:lineRule="auto"/>
              <w:jc w:val="left"/>
            </w:pPr>
            <w:r>
              <w:rPr>
                <w:b/>
                <w:color w:val="FFFFFF"/>
                <w:sz w:val="20"/>
              </w:rPr>
              <w:t>本計劃需要驗證的切入點</w:t>
            </w:r>
          </w:p>
        </w:tc>
      </w:tr>
      <w:tr>
        <w:trPr>
          <w:cantSplit/>
        </w:trPr>
        <w:tc>
          <w:tcPr>
            <w:tcW w:type="dxa" w:w="2232"/>
            <w:vAlign w:val="center"/>
            <w:shd w:fill="F3F6F8"/>
          </w:tcPr>
          <w:p>
            <w:pPr>
              <w:keepNext w:val="0"/>
              <w:spacing w:before="0" w:after="0" w:line="283" w:lineRule="auto"/>
              <w:jc w:val="left"/>
            </w:pPr>
            <w:r>
              <w:rPr>
                <w:sz w:val="20"/>
              </w:rPr>
              <w:t>Gemini Enterprise</w:t>
            </w:r>
          </w:p>
        </w:tc>
        <w:tc>
          <w:tcPr>
            <w:tcW w:type="dxa" w:w="3888"/>
            <w:vAlign w:val="center"/>
            <w:shd w:fill="F3F6F8"/>
          </w:tcPr>
          <w:p>
            <w:pPr>
              <w:keepNext w:val="0"/>
              <w:spacing w:before="0" w:after="0" w:line="283" w:lineRule="auto"/>
              <w:jc w:val="left"/>
            </w:pPr>
            <w:r>
              <w:rPr>
                <w:sz w:val="20"/>
              </w:rPr>
              <w:t>企業搜尋、多步驟工作流程、agent 管理</w:t>
            </w:r>
          </w:p>
        </w:tc>
        <w:tc>
          <w:tcPr>
            <w:tcW w:type="dxa" w:w="4046"/>
            <w:vAlign w:val="center"/>
            <w:shd w:fill="F3F6F8"/>
          </w:tcPr>
          <w:p>
            <w:pPr>
              <w:keepNext w:val="0"/>
              <w:spacing w:before="0" w:after="0" w:line="283" w:lineRule="auto"/>
              <w:jc w:val="left"/>
            </w:pPr>
            <w:r>
              <w:rPr>
                <w:sz w:val="20"/>
              </w:rPr>
              <w:t>特定交付變更流程的可用性與效益</w:t>
            </w:r>
          </w:p>
        </w:tc>
      </w:tr>
      <w:tr>
        <w:trPr>
          <w:cantSplit/>
        </w:trPr>
        <w:tc>
          <w:tcPr>
            <w:tcW w:type="dxa" w:w="2232"/>
            <w:vAlign w:val="center"/>
            <w:shd w:fill="FFFFFF"/>
          </w:tcPr>
          <w:p>
            <w:pPr>
              <w:keepNext w:val="0"/>
              <w:spacing w:before="0" w:after="0" w:line="283" w:lineRule="auto"/>
              <w:jc w:val="left"/>
            </w:pPr>
            <w:r>
              <w:rPr>
                <w:sz w:val="20"/>
              </w:rPr>
              <w:t>Glean Agents</w:t>
            </w:r>
          </w:p>
        </w:tc>
        <w:tc>
          <w:tcPr>
            <w:tcW w:type="dxa" w:w="3888"/>
            <w:vAlign w:val="center"/>
            <w:shd w:fill="FFFFFF"/>
          </w:tcPr>
          <w:p>
            <w:pPr>
              <w:keepNext w:val="0"/>
              <w:spacing w:before="0" w:after="0" w:line="283" w:lineRule="auto"/>
              <w:jc w:val="left"/>
            </w:pPr>
            <w:r>
              <w:rPr>
                <w:sz w:val="20"/>
              </w:rPr>
              <w:t>企業內容、權限及工作動作整合</w:t>
            </w:r>
          </w:p>
        </w:tc>
        <w:tc>
          <w:tcPr>
            <w:tcW w:type="dxa" w:w="4046"/>
            <w:vAlign w:val="center"/>
            <w:shd w:fill="FFFFFF"/>
          </w:tcPr>
          <w:p>
            <w:pPr>
              <w:keepNext w:val="0"/>
              <w:spacing w:before="0" w:after="0" w:line="283" w:lineRule="auto"/>
              <w:jc w:val="left"/>
            </w:pPr>
            <w:r>
              <w:rPr>
                <w:sz w:val="20"/>
              </w:rPr>
              <w:t>衝突狀態到任務更新的具體品質</w:t>
            </w:r>
          </w:p>
        </w:tc>
      </w:tr>
      <w:tr>
        <w:trPr>
          <w:cantSplit/>
        </w:trPr>
        <w:tc>
          <w:tcPr>
            <w:tcW w:type="dxa" w:w="2232"/>
            <w:vAlign w:val="center"/>
            <w:shd w:fill="F3F6F8"/>
          </w:tcPr>
          <w:p>
            <w:pPr>
              <w:keepNext w:val="0"/>
              <w:spacing w:before="0" w:after="0" w:line="283" w:lineRule="auto"/>
              <w:jc w:val="left"/>
            </w:pPr>
            <w:r>
              <w:rPr>
                <w:sz w:val="20"/>
              </w:rPr>
              <w:t>Rocketlane</w:t>
            </w:r>
          </w:p>
        </w:tc>
        <w:tc>
          <w:tcPr>
            <w:tcW w:type="dxa" w:w="3888"/>
            <w:vAlign w:val="center"/>
            <w:shd w:fill="F3F6F8"/>
          </w:tcPr>
          <w:p>
            <w:pPr>
              <w:keepNext w:val="0"/>
              <w:spacing w:before="0" w:after="0" w:line="283" w:lineRule="auto"/>
              <w:jc w:val="left"/>
            </w:pPr>
            <w:r>
              <w:rPr>
                <w:sz w:val="20"/>
              </w:rPr>
              <w:t>銷售到交付交接與 AI 交付輔助</w:t>
            </w:r>
          </w:p>
        </w:tc>
        <w:tc>
          <w:tcPr>
            <w:tcW w:type="dxa" w:w="4046"/>
            <w:vAlign w:val="center"/>
            <w:shd w:fill="F3F6F8"/>
          </w:tcPr>
          <w:p>
            <w:pPr>
              <w:keepNext w:val="0"/>
              <w:spacing w:before="0" w:after="0" w:line="283" w:lineRule="auto"/>
              <w:jc w:val="left"/>
            </w:pPr>
            <w:r>
              <w:rPr>
                <w:sz w:val="20"/>
              </w:rPr>
              <w:t>小型團隊處理文件改版與承諾衝突的體驗</w:t>
            </w:r>
          </w:p>
        </w:tc>
      </w:tr>
    </w:tbl>
    <w:p>
      <w:pPr>
        <w:spacing w:after="60" w:before="0" w:line="240" w:lineRule="auto"/>
      </w:pPr>
      <w:r>
        <w:rPr>
          <w:sz w:val="6"/>
        </w:rPr>
      </w:r>
    </w:p>
    <w:p>
      <w:r>
        <w:t xml:space="preserve">能力摘要來源為 </w:t>
      </w:r>
      <w:hyperlink r:id="rId14">
        <w:r>
          <w:rPr>
            <w:rFonts w:ascii="Arial" w:hAnsi="Arial" w:eastAsia="Heiti TC"/>
            <w:color w:val="235B7A"/>
            <w:u w:val="single"/>
          </w:rPr>
          <w:t>Gemini Enterprise</w:t>
        </w:r>
      </w:hyperlink>
      <w:r>
        <w:t>、</w:t>
      </w:r>
      <w:hyperlink r:id="rId15">
        <w:r>
          <w:rPr>
            <w:rFonts w:ascii="Arial" w:hAnsi="Arial" w:eastAsia="Heiti TC"/>
            <w:color w:val="235B7A"/>
            <w:u w:val="single"/>
          </w:rPr>
          <w:t>Glean Agents</w:t>
        </w:r>
      </w:hyperlink>
      <w:r>
        <w:t xml:space="preserve">及 </w:t>
      </w:r>
      <w:hyperlink r:id="rId16">
        <w:r>
          <w:rPr>
            <w:rFonts w:ascii="Arial" w:hAnsi="Arial" w:eastAsia="Heiti TC"/>
            <w:color w:val="235B7A"/>
            <w:u w:val="single"/>
          </w:rPr>
          <w:t>Rocketlane</w:t>
        </w:r>
      </w:hyperlink>
      <w:r>
        <w:t>。本計劃不假定競品缺少某項功能；差異須以選定場景及可重現測試說明。</w:t>
      </w:r>
    </w:p>
    <w:p>
      <w:pPr>
        <w:pStyle w:val="Heading1"/>
      </w:pPr>
      <w:r>
        <w:t>04 產品流程與功能範圍</w:t>
      </w:r>
    </w:p>
    <w:p>
      <w:pPr>
        <w:pStyle w:val="Heading2"/>
      </w:pPr>
      <w:r>
        <w:t>代表案例</w:t>
      </w:r>
    </w:p>
    <w:p>
      <w:r>
        <w:t>一份已確認的交付計劃約定 10 月 20 日上線，任務清單包含開發、測試與驗收。新的客戶郵件希望提前至 10 月 10 日，並加入單一登入功能。系統指出兩項變更及其來源，顯示受影響任務，並提醒新的要求尚未被團隊接受。PM 可接受、修改或要求澄清，再確認實際要套用的任務更新。</w:t>
      </w:r>
    </w:p>
    <w:p>
      <w:r>
        <w:t>日期均為展示情境，並非實際客戶承諾。流程的完成條件是資料保存成功且重新載入後可看到一致的結果，不能只顯示成功訊息。</w:t>
      </w:r>
    </w:p>
    <w:p>
      <w:pPr>
        <w:pStyle w:val="Heading2"/>
      </w:pPr>
      <w:r>
        <w:t>第一版必要功能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792"/>
        <w:gridCol w:w="2520"/>
        <w:gridCol w:w="6854"/>
      </w:tblGrid>
      <w:tr>
        <w:trPr>
          <w:cantSplit/>
          <w:tblHeader/>
        </w:trPr>
        <w:tc>
          <w:tcPr>
            <w:tcW w:type="dxa" w:w="792"/>
            <w:vAlign w:val="center"/>
            <w:shd w:fill="173B55"/>
          </w:tcPr>
          <w:p>
            <w:pPr>
              <w:keepNext/>
              <w:spacing w:before="0" w:after="0" w:line="283" w:lineRule="auto"/>
              <w:jc w:val="center"/>
            </w:pPr>
            <w:r>
              <w:rPr>
                <w:b/>
                <w:color w:val="FFFFFF"/>
                <w:sz w:val="20"/>
              </w:rPr>
              <w:t>編號</w:t>
            </w:r>
          </w:p>
        </w:tc>
        <w:tc>
          <w:tcPr>
            <w:tcW w:type="dxa" w:w="2520"/>
            <w:vAlign w:val="center"/>
            <w:shd w:fill="173B55"/>
          </w:tcPr>
          <w:p>
            <w:pPr>
              <w:keepNext/>
              <w:spacing w:before="0" w:after="0" w:line="283" w:lineRule="auto"/>
              <w:jc w:val="left"/>
            </w:pPr>
            <w:r>
              <w:rPr>
                <w:b/>
                <w:color w:val="FFFFFF"/>
                <w:sz w:val="20"/>
              </w:rPr>
              <w:t>功能</w:t>
            </w:r>
          </w:p>
        </w:tc>
        <w:tc>
          <w:tcPr>
            <w:tcW w:type="dxa" w:w="6854"/>
            <w:vAlign w:val="center"/>
            <w:shd w:fill="173B55"/>
          </w:tcPr>
          <w:p>
            <w:pPr>
              <w:keepNext/>
              <w:spacing w:before="0" w:after="0" w:line="283" w:lineRule="auto"/>
              <w:jc w:val="left"/>
            </w:pPr>
            <w:r>
              <w:rPr>
                <w:b/>
                <w:color w:val="FFFFFF"/>
                <w:sz w:val="20"/>
              </w:rPr>
              <w:t>驗收重點</w:t>
            </w:r>
          </w:p>
        </w:tc>
      </w:tr>
      <w:tr>
        <w:trPr>
          <w:cantSplit/>
        </w:trPr>
        <w:tc>
          <w:tcPr>
            <w:tcW w:type="dxa" w:w="792"/>
            <w:vAlign w:val="center"/>
            <w:shd w:fill="F3F6F8"/>
          </w:tcPr>
          <w:p>
            <w:pPr>
              <w:keepNext w:val="0"/>
              <w:spacing w:before="0" w:after="0" w:line="283" w:lineRule="auto"/>
              <w:jc w:val="center"/>
            </w:pPr>
            <w:r>
              <w:rPr>
                <w:sz w:val="20"/>
              </w:rPr>
              <w:t>F01</w:t>
            </w:r>
          </w:p>
        </w:tc>
        <w:tc>
          <w:tcPr>
            <w:tcW w:type="dxa" w:w="2520"/>
            <w:vAlign w:val="center"/>
            <w:shd w:fill="F3F6F8"/>
          </w:tcPr>
          <w:p>
            <w:pPr>
              <w:keepNext w:val="0"/>
              <w:spacing w:before="0" w:after="0" w:line="283" w:lineRule="auto"/>
              <w:jc w:val="left"/>
            </w:pPr>
            <w:r>
              <w:rPr>
                <w:sz w:val="20"/>
              </w:rPr>
              <w:t>建立專案與匯入資料</w:t>
            </w:r>
          </w:p>
        </w:tc>
        <w:tc>
          <w:tcPr>
            <w:tcW w:type="dxa" w:w="6854"/>
            <w:vAlign w:val="center"/>
            <w:shd w:fill="F3F6F8"/>
          </w:tcPr>
          <w:p>
            <w:pPr>
              <w:keepNext w:val="0"/>
              <w:spacing w:before="0" w:after="0" w:line="283" w:lineRule="auto"/>
              <w:jc w:val="left"/>
            </w:pPr>
            <w:r>
              <w:rPr>
                <w:sz w:val="20"/>
              </w:rPr>
              <w:t>文件與任務歸屬正確；格式不符有清楚錯誤</w:t>
            </w:r>
          </w:p>
        </w:tc>
      </w:tr>
      <w:tr>
        <w:trPr>
          <w:cantSplit/>
        </w:trPr>
        <w:tc>
          <w:tcPr>
            <w:tcW w:type="dxa" w:w="792"/>
            <w:vAlign w:val="center"/>
            <w:shd w:fill="FFFFFF"/>
          </w:tcPr>
          <w:p>
            <w:pPr>
              <w:keepNext w:val="0"/>
              <w:spacing w:before="0" w:after="0" w:line="283" w:lineRule="auto"/>
              <w:jc w:val="center"/>
            </w:pPr>
            <w:r>
              <w:rPr>
                <w:sz w:val="20"/>
              </w:rPr>
              <w:t>F02</w:t>
            </w:r>
          </w:p>
        </w:tc>
        <w:tc>
          <w:tcPr>
            <w:tcW w:type="dxa" w:w="2520"/>
            <w:vAlign w:val="center"/>
            <w:shd w:fill="FFFFFF"/>
          </w:tcPr>
          <w:p>
            <w:pPr>
              <w:keepNext w:val="0"/>
              <w:spacing w:before="0" w:after="0" w:line="283" w:lineRule="auto"/>
              <w:jc w:val="left"/>
            </w:pPr>
            <w:r>
              <w:rPr>
                <w:sz w:val="20"/>
              </w:rPr>
              <w:t>抽取交付承諾</w:t>
            </w:r>
          </w:p>
        </w:tc>
        <w:tc>
          <w:tcPr>
            <w:tcW w:type="dxa" w:w="6854"/>
            <w:vAlign w:val="center"/>
            <w:shd w:fill="FFFFFF"/>
          </w:tcPr>
          <w:p>
            <w:pPr>
              <w:keepNext w:val="0"/>
              <w:spacing w:before="0" w:after="0" w:line="283" w:lineRule="auto"/>
              <w:jc w:val="left"/>
            </w:pPr>
            <w:r>
              <w:rPr>
                <w:sz w:val="20"/>
              </w:rPr>
              <w:t>項目、日期、負責人及原文依據可檢查</w:t>
            </w:r>
          </w:p>
        </w:tc>
      </w:tr>
      <w:tr>
        <w:trPr>
          <w:cantSplit/>
        </w:trPr>
        <w:tc>
          <w:tcPr>
            <w:tcW w:type="dxa" w:w="792"/>
            <w:vAlign w:val="center"/>
            <w:shd w:fill="F3F6F8"/>
          </w:tcPr>
          <w:p>
            <w:pPr>
              <w:keepNext w:val="0"/>
              <w:spacing w:before="0" w:after="0" w:line="283" w:lineRule="auto"/>
              <w:jc w:val="center"/>
            </w:pPr>
            <w:r>
              <w:rPr>
                <w:sz w:val="20"/>
              </w:rPr>
              <w:t>F03</w:t>
            </w:r>
          </w:p>
        </w:tc>
        <w:tc>
          <w:tcPr>
            <w:tcW w:type="dxa" w:w="2520"/>
            <w:vAlign w:val="center"/>
            <w:shd w:fill="F3F6F8"/>
          </w:tcPr>
          <w:p>
            <w:pPr>
              <w:keepNext w:val="0"/>
              <w:spacing w:before="0" w:after="0" w:line="283" w:lineRule="auto"/>
              <w:jc w:val="left"/>
            </w:pPr>
            <w:r>
              <w:rPr>
                <w:sz w:val="20"/>
              </w:rPr>
              <w:t>比較三類變更</w:t>
            </w:r>
          </w:p>
        </w:tc>
        <w:tc>
          <w:tcPr>
            <w:tcW w:type="dxa" w:w="6854"/>
            <w:vAlign w:val="center"/>
            <w:shd w:fill="F3F6F8"/>
          </w:tcPr>
          <w:p>
            <w:pPr>
              <w:keepNext w:val="0"/>
              <w:spacing w:before="0" w:after="0" w:line="283" w:lineRule="auto"/>
              <w:jc w:val="left"/>
            </w:pPr>
            <w:r>
              <w:rPr>
                <w:sz w:val="20"/>
              </w:rPr>
              <w:t>期限、需求範圍、負責人差異可逐項查看</w:t>
            </w:r>
          </w:p>
        </w:tc>
      </w:tr>
      <w:tr>
        <w:trPr>
          <w:cantSplit/>
        </w:trPr>
        <w:tc>
          <w:tcPr>
            <w:tcW w:type="dxa" w:w="792"/>
            <w:vAlign w:val="center"/>
            <w:shd w:fill="FFFFFF"/>
          </w:tcPr>
          <w:p>
            <w:pPr>
              <w:keepNext w:val="0"/>
              <w:spacing w:before="0" w:after="0" w:line="283" w:lineRule="auto"/>
              <w:jc w:val="center"/>
            </w:pPr>
            <w:r>
              <w:rPr>
                <w:sz w:val="20"/>
              </w:rPr>
              <w:t>F04</w:t>
            </w:r>
          </w:p>
        </w:tc>
        <w:tc>
          <w:tcPr>
            <w:tcW w:type="dxa" w:w="2520"/>
            <w:vAlign w:val="center"/>
            <w:shd w:fill="FFFFFF"/>
          </w:tcPr>
          <w:p>
            <w:pPr>
              <w:keepNext w:val="0"/>
              <w:spacing w:before="0" w:after="0" w:line="283" w:lineRule="auto"/>
              <w:jc w:val="left"/>
            </w:pPr>
            <w:r>
              <w:rPr>
                <w:sz w:val="20"/>
              </w:rPr>
              <w:t>顯示影響與不確定事項</w:t>
            </w:r>
          </w:p>
        </w:tc>
        <w:tc>
          <w:tcPr>
            <w:tcW w:type="dxa" w:w="6854"/>
            <w:vAlign w:val="center"/>
            <w:shd w:fill="FFFFFF"/>
          </w:tcPr>
          <w:p>
            <w:pPr>
              <w:keepNext w:val="0"/>
              <w:spacing w:before="0" w:after="0" w:line="283" w:lineRule="auto"/>
              <w:jc w:val="left"/>
            </w:pPr>
            <w:r>
              <w:rPr>
                <w:sz w:val="20"/>
              </w:rPr>
              <w:t>有依據的任務關聯與待確認建議分開呈現</w:t>
            </w:r>
          </w:p>
        </w:tc>
      </w:tr>
      <w:tr>
        <w:trPr>
          <w:cantSplit/>
        </w:trPr>
        <w:tc>
          <w:tcPr>
            <w:tcW w:type="dxa" w:w="792"/>
            <w:vAlign w:val="center"/>
            <w:shd w:fill="F3F6F8"/>
          </w:tcPr>
          <w:p>
            <w:pPr>
              <w:keepNext w:val="0"/>
              <w:spacing w:before="0" w:after="0" w:line="283" w:lineRule="auto"/>
              <w:jc w:val="center"/>
            </w:pPr>
            <w:r>
              <w:rPr>
                <w:sz w:val="20"/>
              </w:rPr>
              <w:t>F05</w:t>
            </w:r>
          </w:p>
        </w:tc>
        <w:tc>
          <w:tcPr>
            <w:tcW w:type="dxa" w:w="2520"/>
            <w:vAlign w:val="center"/>
            <w:shd w:fill="F3F6F8"/>
          </w:tcPr>
          <w:p>
            <w:pPr>
              <w:keepNext w:val="0"/>
              <w:spacing w:before="0" w:after="0" w:line="283" w:lineRule="auto"/>
              <w:jc w:val="left"/>
            </w:pPr>
            <w:r>
              <w:rPr>
                <w:sz w:val="20"/>
              </w:rPr>
              <w:t>編輯與確認提案</w:t>
            </w:r>
          </w:p>
        </w:tc>
        <w:tc>
          <w:tcPr>
            <w:tcW w:type="dxa" w:w="6854"/>
            <w:vAlign w:val="center"/>
            <w:shd w:fill="F3F6F8"/>
          </w:tcPr>
          <w:p>
            <w:pPr>
              <w:keepNext w:val="0"/>
              <w:spacing w:before="0" w:after="0" w:line="283" w:lineRule="auto"/>
              <w:jc w:val="left"/>
            </w:pPr>
            <w:r>
              <w:rPr>
                <w:sz w:val="20"/>
              </w:rPr>
              <w:t>修改內容會生成新版提案，核准綁定確切版本</w:t>
            </w:r>
          </w:p>
        </w:tc>
      </w:tr>
      <w:tr>
        <w:trPr>
          <w:cantSplit/>
        </w:trPr>
        <w:tc>
          <w:tcPr>
            <w:tcW w:type="dxa" w:w="792"/>
            <w:vAlign w:val="center"/>
            <w:shd w:fill="FFFFFF"/>
          </w:tcPr>
          <w:p>
            <w:pPr>
              <w:keepNext w:val="0"/>
              <w:spacing w:before="0" w:after="0" w:line="283" w:lineRule="auto"/>
              <w:jc w:val="center"/>
            </w:pPr>
            <w:r>
              <w:rPr>
                <w:sz w:val="20"/>
              </w:rPr>
              <w:t>F06</w:t>
            </w:r>
          </w:p>
        </w:tc>
        <w:tc>
          <w:tcPr>
            <w:tcW w:type="dxa" w:w="2520"/>
            <w:vAlign w:val="center"/>
            <w:shd w:fill="FFFFFF"/>
          </w:tcPr>
          <w:p>
            <w:pPr>
              <w:keepNext w:val="0"/>
              <w:spacing w:before="0" w:after="0" w:line="283" w:lineRule="auto"/>
              <w:jc w:val="left"/>
            </w:pPr>
            <w:r>
              <w:rPr>
                <w:sz w:val="20"/>
              </w:rPr>
              <w:t>保存任務更新與結果</w:t>
            </w:r>
          </w:p>
        </w:tc>
        <w:tc>
          <w:tcPr>
            <w:tcW w:type="dxa" w:w="6854"/>
            <w:vAlign w:val="center"/>
            <w:shd w:fill="FFFFFF"/>
          </w:tcPr>
          <w:p>
            <w:pPr>
              <w:keepNext w:val="0"/>
              <w:spacing w:before="0" w:after="0" w:line="283" w:lineRule="auto"/>
              <w:jc w:val="left"/>
            </w:pPr>
            <w:r>
              <w:rPr>
                <w:sz w:val="20"/>
              </w:rPr>
              <w:t>後端檢查身分、版本及重複請求，再交易寫入</w:t>
            </w:r>
          </w:p>
        </w:tc>
      </w:tr>
      <w:tr>
        <w:trPr>
          <w:cantSplit/>
        </w:trPr>
        <w:tc>
          <w:tcPr>
            <w:tcW w:type="dxa" w:w="792"/>
            <w:vAlign w:val="center"/>
            <w:shd w:fill="F3F6F8"/>
          </w:tcPr>
          <w:p>
            <w:pPr>
              <w:keepNext w:val="0"/>
              <w:spacing w:before="0" w:after="0" w:line="283" w:lineRule="auto"/>
              <w:jc w:val="center"/>
            </w:pPr>
            <w:r>
              <w:rPr>
                <w:sz w:val="20"/>
              </w:rPr>
              <w:t>F07</w:t>
            </w:r>
          </w:p>
        </w:tc>
        <w:tc>
          <w:tcPr>
            <w:tcW w:type="dxa" w:w="2520"/>
            <w:vAlign w:val="center"/>
            <w:shd w:fill="F3F6F8"/>
          </w:tcPr>
          <w:p>
            <w:pPr>
              <w:keepNext w:val="0"/>
              <w:spacing w:before="0" w:after="0" w:line="283" w:lineRule="auto"/>
              <w:jc w:val="left"/>
            </w:pPr>
            <w:r>
              <w:rPr>
                <w:sz w:val="20"/>
              </w:rPr>
              <w:t>展示與專案隔離</w:t>
            </w:r>
          </w:p>
        </w:tc>
        <w:tc>
          <w:tcPr>
            <w:tcW w:type="dxa" w:w="6854"/>
            <w:vAlign w:val="center"/>
            <w:shd w:fill="F3F6F8"/>
          </w:tcPr>
          <w:p>
            <w:pPr>
              <w:keepNext w:val="0"/>
              <w:spacing w:before="0" w:after="0" w:line="283" w:lineRule="auto"/>
              <w:jc w:val="left"/>
            </w:pPr>
            <w:r>
              <w:rPr>
                <w:sz w:val="20"/>
              </w:rPr>
              <w:t>每位展示使用者有獨立合成案例與資料範圍</w:t>
            </w:r>
          </w:p>
        </w:tc>
      </w:tr>
    </w:tbl>
    <w:p>
      <w:pPr>
        <w:spacing w:after="60" w:before="0" w:line="240" w:lineRule="auto"/>
      </w:pPr>
      <w:r>
        <w:rPr>
          <w:sz w:val="6"/>
        </w:rPr>
      </w:r>
    </w:p>
    <w:p>
      <w:r>
        <w:t>匯入上限先設定為每案五份文字型 PDF 或文字資料、合計 30 頁或 30,000 字元、單檔 5 MB，以先達到的限制為準。任務匯入使用固定 CSV 欄位，上限 50 筆；單次更新最多 20 筆。這些是開發範圍設定，須在第一週以實際模型上下文與延遲測試調整。</w:t>
      </w:r>
    </w:p>
    <w:p>
      <w:r>
        <w:t>首版採英文 UI 與英文展示案例。資料不足時以待確認呈現；負責人可提供補充資料或手動填寫，系統保留其人工修改來源。文件中的「已核准」字樣可作證據候選，不能直接授予系統內的執行權限。</w:t>
      </w:r>
    </w:p>
    <w:p>
      <w:pPr>
        <w:pStyle w:val="Heading2"/>
      </w:pPr>
      <w:r>
        <w:t>擴充的進入條件</w:t>
      </w:r>
    </w:p>
    <w:p>
      <w:r>
        <w:t>只有第二週核心驗收完成，且保有至少 12 人時緩衝，才考慮一個指定 Google Sheets 串接。跨語言案例、掃描文件辨識、語音會議、更多企業連接器及自動排程，列入賽後候選。首版需要完整完成目前定義的工作流程。</w:t>
      </w:r>
    </w:p>
    <w:p>
      <w:pPr>
        <w:pStyle w:val="Heading2"/>
      </w:pPr>
      <w:r>
        <w:t>操作介面</w:t>
      </w:r>
    </w:p>
    <w:p>
      <w:r>
        <w:t>介面由專案資料頁、變更檢閱頁與執行結果頁組成。檢閱頁同時顯示來源、差異與建議更新，使用者能從任務回到原文。執行前顯示更新前後的欄位、待解決問題及此次套用筆數。更新成功後提供可追溯紀錄；失敗時顯示可執行的下一步。</w:t>
      </w:r>
    </w:p>
    <w:p>
      <w:pPr>
        <w:pStyle w:val="Heading1"/>
      </w:pPr>
      <w:r>
        <w:t>05 技術架構與 AI 設計</w:t>
      </w:r>
    </w:p>
    <w:p>
      <w:r>
        <w:t>前端使用 React 與 TypeScript，後端使用 Python 與 FastAPI。前端靜態資源與 API 可由同一個 Cloud Run 服務提供，減少部署組件。由後端呼叫 Google Cloud 上的 Gemini API，Firestore 保存專案與工作狀態，Cloud Storage 保存文件，Firebase Authentication 提供使用者身分。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520"/>
        <w:gridCol w:w="3931"/>
        <w:gridCol w:w="3715"/>
      </w:tblGrid>
      <w:tr>
        <w:trPr>
          <w:cantSplit/>
          <w:tblHeader/>
        </w:trPr>
        <w:tc>
          <w:tcPr>
            <w:tcW w:type="dxa" w:w="2520"/>
            <w:vAlign w:val="center"/>
            <w:shd w:fill="173B55"/>
          </w:tcPr>
          <w:p>
            <w:pPr>
              <w:keepNext/>
              <w:spacing w:before="0" w:after="0" w:line="283" w:lineRule="auto"/>
              <w:jc w:val="left"/>
            </w:pPr>
            <w:r>
              <w:rPr>
                <w:b/>
                <w:color w:val="FFFFFF"/>
                <w:sz w:val="20"/>
              </w:rPr>
              <w:t>元件</w:t>
            </w:r>
          </w:p>
        </w:tc>
        <w:tc>
          <w:tcPr>
            <w:tcW w:type="dxa" w:w="3931"/>
            <w:vAlign w:val="center"/>
            <w:shd w:fill="173B55"/>
          </w:tcPr>
          <w:p>
            <w:pPr>
              <w:keepNext/>
              <w:spacing w:before="0" w:after="0" w:line="283" w:lineRule="auto"/>
              <w:jc w:val="left"/>
            </w:pPr>
            <w:r>
              <w:rPr>
                <w:b/>
                <w:color w:val="FFFFFF"/>
                <w:sz w:val="20"/>
              </w:rPr>
              <w:t>責任</w:t>
            </w:r>
          </w:p>
        </w:tc>
        <w:tc>
          <w:tcPr>
            <w:tcW w:type="dxa" w:w="3715"/>
            <w:vAlign w:val="center"/>
            <w:shd w:fill="173B55"/>
          </w:tcPr>
          <w:p>
            <w:pPr>
              <w:keepNext/>
              <w:spacing w:before="0" w:after="0" w:line="283" w:lineRule="auto"/>
              <w:jc w:val="left"/>
            </w:pPr>
            <w:r>
              <w:rPr>
                <w:b/>
                <w:color w:val="FFFFFF"/>
                <w:sz w:val="20"/>
              </w:rPr>
              <w:t>選用理由</w:t>
            </w:r>
          </w:p>
        </w:tc>
      </w:tr>
      <w:tr>
        <w:trPr>
          <w:cantSplit/>
        </w:trPr>
        <w:tc>
          <w:tcPr>
            <w:tcW w:type="dxa" w:w="2520"/>
            <w:vAlign w:val="center"/>
            <w:shd w:fill="F3F6F8"/>
          </w:tcPr>
          <w:p>
            <w:pPr>
              <w:keepNext w:val="0"/>
              <w:spacing w:before="0" w:after="0" w:line="283" w:lineRule="auto"/>
              <w:jc w:val="left"/>
            </w:pPr>
            <w:r>
              <w:rPr>
                <w:sz w:val="20"/>
              </w:rPr>
              <w:t>React 與 TypeScript</w:t>
            </w:r>
          </w:p>
        </w:tc>
        <w:tc>
          <w:tcPr>
            <w:tcW w:type="dxa" w:w="3931"/>
            <w:vAlign w:val="center"/>
            <w:shd w:fill="F3F6F8"/>
          </w:tcPr>
          <w:p>
            <w:pPr>
              <w:keepNext w:val="0"/>
              <w:spacing w:before="0" w:after="0" w:line="283" w:lineRule="auto"/>
              <w:jc w:val="left"/>
            </w:pPr>
            <w:r>
              <w:rPr>
                <w:sz w:val="20"/>
              </w:rPr>
              <w:t>工作台、來源檢閱、提案編輯</w:t>
            </w:r>
          </w:p>
        </w:tc>
        <w:tc>
          <w:tcPr>
            <w:tcW w:type="dxa" w:w="3715"/>
            <w:vAlign w:val="center"/>
            <w:shd w:fill="F3F6F8"/>
          </w:tcPr>
          <w:p>
            <w:pPr>
              <w:keepNext w:val="0"/>
              <w:spacing w:before="0" w:after="0" w:line="283" w:lineRule="auto"/>
              <w:jc w:val="left"/>
            </w:pPr>
            <w:r>
              <w:rPr>
                <w:sz w:val="20"/>
              </w:rPr>
              <w:t>UI 狀態清楚，便於兩人分工</w:t>
            </w:r>
          </w:p>
        </w:tc>
      </w:tr>
      <w:tr>
        <w:trPr>
          <w:cantSplit/>
        </w:trPr>
        <w:tc>
          <w:tcPr>
            <w:tcW w:type="dxa" w:w="2520"/>
            <w:vAlign w:val="center"/>
            <w:shd w:fill="FFFFFF"/>
          </w:tcPr>
          <w:p>
            <w:pPr>
              <w:keepNext w:val="0"/>
              <w:spacing w:before="0" w:after="0" w:line="283" w:lineRule="auto"/>
              <w:jc w:val="left"/>
            </w:pPr>
            <w:r>
              <w:rPr>
                <w:sz w:val="20"/>
              </w:rPr>
              <w:t>FastAPI 與 Cloud Run</w:t>
            </w:r>
          </w:p>
        </w:tc>
        <w:tc>
          <w:tcPr>
            <w:tcW w:type="dxa" w:w="3931"/>
            <w:vAlign w:val="center"/>
            <w:shd w:fill="FFFFFF"/>
          </w:tcPr>
          <w:p>
            <w:pPr>
              <w:keepNext w:val="0"/>
              <w:spacing w:before="0" w:after="0" w:line="283" w:lineRule="auto"/>
              <w:jc w:val="left"/>
            </w:pPr>
            <w:r>
              <w:rPr>
                <w:sz w:val="20"/>
              </w:rPr>
              <w:t>API、分析流程、權限及執行</w:t>
            </w:r>
          </w:p>
        </w:tc>
        <w:tc>
          <w:tcPr>
            <w:tcW w:type="dxa" w:w="3715"/>
            <w:vAlign w:val="center"/>
            <w:shd w:fill="FFFFFF"/>
          </w:tcPr>
          <w:p>
            <w:pPr>
              <w:keepNext w:val="0"/>
              <w:spacing w:before="0" w:after="0" w:line="283" w:lineRule="auto"/>
              <w:jc w:val="left"/>
            </w:pPr>
            <w:r>
              <w:rPr>
                <w:sz w:val="20"/>
              </w:rPr>
              <w:t>單一服務先完成雲端端到端交付</w:t>
            </w:r>
          </w:p>
        </w:tc>
      </w:tr>
      <w:tr>
        <w:trPr>
          <w:cantSplit/>
        </w:trPr>
        <w:tc>
          <w:tcPr>
            <w:tcW w:type="dxa" w:w="2520"/>
            <w:vAlign w:val="center"/>
            <w:shd w:fill="F3F6F8"/>
          </w:tcPr>
          <w:p>
            <w:pPr>
              <w:keepNext w:val="0"/>
              <w:spacing w:before="0" w:after="0" w:line="283" w:lineRule="auto"/>
              <w:jc w:val="left"/>
            </w:pPr>
            <w:r>
              <w:rPr>
                <w:sz w:val="20"/>
              </w:rPr>
              <w:t>Gemini API</w:t>
            </w:r>
          </w:p>
        </w:tc>
        <w:tc>
          <w:tcPr>
            <w:tcW w:type="dxa" w:w="3931"/>
            <w:vAlign w:val="center"/>
            <w:shd w:fill="F3F6F8"/>
          </w:tcPr>
          <w:p>
            <w:pPr>
              <w:keepNext w:val="0"/>
              <w:spacing w:before="0" w:after="0" w:line="283" w:lineRule="auto"/>
              <w:jc w:val="left"/>
            </w:pPr>
            <w:r>
              <w:rPr>
                <w:sz w:val="20"/>
              </w:rPr>
              <w:t>語意抽取、差異與影響候選</w:t>
            </w:r>
          </w:p>
        </w:tc>
        <w:tc>
          <w:tcPr>
            <w:tcW w:type="dxa" w:w="3715"/>
            <w:vAlign w:val="center"/>
            <w:shd w:fill="F3F6F8"/>
          </w:tcPr>
          <w:p>
            <w:pPr>
              <w:keepNext w:val="0"/>
              <w:spacing w:before="0" w:after="0" w:line="283" w:lineRule="auto"/>
              <w:jc w:val="left"/>
            </w:pPr>
            <w:r>
              <w:rPr>
                <w:sz w:val="20"/>
              </w:rPr>
              <w:t>AI 直接處理非結構化工作資料</w:t>
            </w:r>
          </w:p>
        </w:tc>
      </w:tr>
      <w:tr>
        <w:trPr>
          <w:cantSplit/>
        </w:trPr>
        <w:tc>
          <w:tcPr>
            <w:tcW w:type="dxa" w:w="2520"/>
            <w:vAlign w:val="center"/>
            <w:shd w:fill="FFFFFF"/>
          </w:tcPr>
          <w:p>
            <w:pPr>
              <w:keepNext w:val="0"/>
              <w:spacing w:before="0" w:after="0" w:line="283" w:lineRule="auto"/>
              <w:jc w:val="left"/>
            </w:pPr>
            <w:r>
              <w:rPr>
                <w:sz w:val="20"/>
              </w:rPr>
              <w:t>Firestore</w:t>
            </w:r>
          </w:p>
        </w:tc>
        <w:tc>
          <w:tcPr>
            <w:tcW w:type="dxa" w:w="3931"/>
            <w:vAlign w:val="center"/>
            <w:shd w:fill="FFFFFF"/>
          </w:tcPr>
          <w:p>
            <w:pPr>
              <w:keepNext w:val="0"/>
              <w:spacing w:before="0" w:after="0" w:line="283" w:lineRule="auto"/>
              <w:jc w:val="left"/>
            </w:pPr>
            <w:r>
              <w:rPr>
                <w:sz w:val="20"/>
              </w:rPr>
              <w:t>文件版本、提案、任務與執行紀錄</w:t>
            </w:r>
          </w:p>
        </w:tc>
        <w:tc>
          <w:tcPr>
            <w:tcW w:type="dxa" w:w="3715"/>
            <w:vAlign w:val="center"/>
            <w:shd w:fill="FFFFFF"/>
          </w:tcPr>
          <w:p>
            <w:pPr>
              <w:keepNext w:val="0"/>
              <w:spacing w:before="0" w:after="0" w:line="283" w:lineRule="auto"/>
              <w:jc w:val="left"/>
            </w:pPr>
            <w:r>
              <w:rPr>
                <w:sz w:val="20"/>
              </w:rPr>
              <w:t>支援交易型更新及版本條件檢查</w:t>
            </w:r>
          </w:p>
        </w:tc>
      </w:tr>
      <w:tr>
        <w:trPr>
          <w:cantSplit/>
        </w:trPr>
        <w:tc>
          <w:tcPr>
            <w:tcW w:type="dxa" w:w="2520"/>
            <w:vAlign w:val="center"/>
            <w:shd w:fill="F3F6F8"/>
          </w:tcPr>
          <w:p>
            <w:pPr>
              <w:keepNext w:val="0"/>
              <w:spacing w:before="0" w:after="0" w:line="283" w:lineRule="auto"/>
              <w:jc w:val="left"/>
            </w:pPr>
            <w:r>
              <w:rPr>
                <w:sz w:val="20"/>
              </w:rPr>
              <w:t>Cloud Storage</w:t>
            </w:r>
          </w:p>
        </w:tc>
        <w:tc>
          <w:tcPr>
            <w:tcW w:type="dxa" w:w="3931"/>
            <w:vAlign w:val="center"/>
            <w:shd w:fill="F3F6F8"/>
          </w:tcPr>
          <w:p>
            <w:pPr>
              <w:keepNext w:val="0"/>
              <w:spacing w:before="0" w:after="0" w:line="283" w:lineRule="auto"/>
              <w:jc w:val="left"/>
            </w:pPr>
            <w:r>
              <w:rPr>
                <w:sz w:val="20"/>
              </w:rPr>
              <w:t>原始文件與解析產物</w:t>
            </w:r>
          </w:p>
        </w:tc>
        <w:tc>
          <w:tcPr>
            <w:tcW w:type="dxa" w:w="3715"/>
            <w:vAlign w:val="center"/>
            <w:shd w:fill="F3F6F8"/>
          </w:tcPr>
          <w:p>
            <w:pPr>
              <w:keepNext w:val="0"/>
              <w:spacing w:before="0" w:after="0" w:line="283" w:lineRule="auto"/>
              <w:jc w:val="left"/>
            </w:pPr>
            <w:r>
              <w:rPr>
                <w:sz w:val="20"/>
              </w:rPr>
              <w:t>原文依據可保留及重新查閱</w:t>
            </w:r>
          </w:p>
        </w:tc>
      </w:tr>
      <w:tr>
        <w:trPr>
          <w:cantSplit/>
        </w:trPr>
        <w:tc>
          <w:tcPr>
            <w:tcW w:type="dxa" w:w="2520"/>
            <w:vAlign w:val="center"/>
            <w:shd w:fill="FFFFFF"/>
          </w:tcPr>
          <w:p>
            <w:pPr>
              <w:keepNext w:val="0"/>
              <w:spacing w:before="0" w:after="0" w:line="283" w:lineRule="auto"/>
              <w:jc w:val="left"/>
            </w:pPr>
            <w:r>
              <w:rPr>
                <w:sz w:val="20"/>
              </w:rPr>
              <w:t>Firebase Authentication</w:t>
            </w:r>
          </w:p>
        </w:tc>
        <w:tc>
          <w:tcPr>
            <w:tcW w:type="dxa" w:w="3931"/>
            <w:vAlign w:val="center"/>
            <w:shd w:fill="FFFFFF"/>
          </w:tcPr>
          <w:p>
            <w:pPr>
              <w:keepNext w:val="0"/>
              <w:spacing w:before="0" w:after="0" w:line="283" w:lineRule="auto"/>
              <w:jc w:val="left"/>
            </w:pPr>
            <w:r>
              <w:rPr>
                <w:sz w:val="20"/>
              </w:rPr>
              <w:t>登入與身分 token</w:t>
            </w:r>
          </w:p>
        </w:tc>
        <w:tc>
          <w:tcPr>
            <w:tcW w:type="dxa" w:w="3715"/>
            <w:vAlign w:val="center"/>
            <w:shd w:fill="FFFFFF"/>
          </w:tcPr>
          <w:p>
            <w:pPr>
              <w:keepNext w:val="0"/>
              <w:spacing w:before="0" w:after="0" w:line="283" w:lineRule="auto"/>
              <w:jc w:val="left"/>
            </w:pPr>
            <w:r>
              <w:rPr>
                <w:sz w:val="20"/>
              </w:rPr>
              <w:t>後端可驗證呼叫者身分</w:t>
            </w:r>
          </w:p>
        </w:tc>
      </w:tr>
    </w:tbl>
    <w:p>
      <w:pPr>
        <w:spacing w:after="60" w:before="0" w:line="240" w:lineRule="auto"/>
      </w:pPr>
      <w:r>
        <w:rPr>
          <w:sz w:val="6"/>
        </w:rPr>
      </w:r>
    </w:p>
    <w:p>
      <w:r>
        <w:t>資料流程為：使用者匯入資料 → 後端驗證與建立版本 → Gemini 抽取與比較 → 程式驗證輸出 → 使用者檢閱 → 後端交易更新任務 → 回讀結果。模型分析在資料庫交易之外完成，避免交易重試時重複呼叫模型。</w:t>
      </w:r>
    </w:p>
    <w:p>
      <w:pPr>
        <w:pStyle w:val="Heading2"/>
      </w:pPr>
      <w:r>
        <w:t>模型與提示詞</w:t>
      </w:r>
    </w:p>
    <w:p>
      <w:r>
        <w:t>第一天以五個開發案例比較帳號可用的兩個穩定版 Flash 候選模型，按正確率、延遲及每案用量選定，鎖定模型識別與 SDK 版本。三週內以同一模型完成主要比較；若必須更換，重新執行受影響評估並記錄原因。</w:t>
      </w:r>
    </w:p>
    <w:p>
      <w:r>
        <w:t>分析採可追蹤的有限步驟：先抽取各文件的承諾候選，再比對既有已確認基線，最後產生差異與任務更新候選。模型輸出固定 schema，包含來源識別、片段、欄位、舊值、新值及待確認事項。Structured output 支援固定結構，但不能代替語意正確性驗證。</w:t>
      </w:r>
      <w:hyperlink r:id="rId17">
        <w:r>
          <w:rPr>
            <w:rFonts w:ascii="Arial" w:hAnsi="Arial" w:eastAsia="Heiti TC"/>
            <w:color w:val="235B7A"/>
            <w:u w:val="single"/>
          </w:rPr>
          <w:t>Google 文件</w:t>
        </w:r>
      </w:hyperlink>
    </w:p>
    <w:p>
      <w:r>
        <w:t>程式確認來源確實存在、片段能在對應版本找到、任務識別有效、日期可解析、更新欄位在允許範圍內。來源可回查並不代表推論一定正確，因此評估仍須人工檢查原文是否支持主張。</w:t>
      </w:r>
    </w:p>
    <w:p>
      <w:r>
        <w:t>每次只處理當前專案的限定資料包。首版以清楚的來源標記與資料版本完成上下文管理；更多專案或大型資料集需要的檢索系統，依後續量測決定。Agent Development Kit 可在團隊熟悉時導入，但不是本計劃的必要依賴。</w:t>
      </w:r>
      <w:hyperlink r:id="rId18">
        <w:r>
          <w:rPr>
            <w:rFonts w:ascii="Arial" w:hAnsi="Arial" w:eastAsia="Heiti TC"/>
            <w:color w:val="235B7A"/>
            <w:u w:val="single"/>
          </w:rPr>
          <w:t>ADK 部署參考</w:t>
        </w:r>
      </w:hyperlink>
    </w:p>
    <w:p>
      <w:pPr>
        <w:pStyle w:val="Heading1"/>
      </w:pPr>
      <w:r>
        <w:t>06 資料契約與執行行為</w:t>
      </w:r>
    </w:p>
    <w:p>
      <w:r>
        <w:t>以下是開發所需的最小資料契約，實作時可增加索引欄位，但不得改變來源、核准與執行之間的關係。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390"/>
        <w:gridCol w:w="7776"/>
      </w:tblGrid>
      <w:tr>
        <w:trPr>
          <w:cantSplit/>
          <w:tblHeader/>
        </w:trPr>
        <w:tc>
          <w:tcPr>
            <w:tcW w:type="dxa" w:w="2390"/>
            <w:vAlign w:val="center"/>
            <w:shd w:fill="173B55"/>
          </w:tcPr>
          <w:p>
            <w:pPr>
              <w:keepNext/>
              <w:spacing w:before="0" w:after="0" w:line="283" w:lineRule="auto"/>
              <w:jc w:val="left"/>
            </w:pPr>
            <w:r>
              <w:rPr>
                <w:b/>
                <w:color w:val="FFFFFF"/>
                <w:sz w:val="20"/>
              </w:rPr>
              <w:t>資料</w:t>
            </w:r>
          </w:p>
        </w:tc>
        <w:tc>
          <w:tcPr>
            <w:tcW w:type="dxa" w:w="7776"/>
            <w:vAlign w:val="center"/>
            <w:shd w:fill="173B55"/>
          </w:tcPr>
          <w:p>
            <w:pPr>
              <w:keepNext/>
              <w:spacing w:before="0" w:after="0" w:line="283" w:lineRule="auto"/>
              <w:jc w:val="left"/>
            </w:pPr>
            <w:r>
              <w:rPr>
                <w:b/>
                <w:color w:val="FFFFFF"/>
                <w:sz w:val="20"/>
              </w:rPr>
              <w:t>必要內容</w:t>
            </w:r>
          </w:p>
        </w:tc>
      </w:tr>
      <w:tr>
        <w:trPr>
          <w:cantSplit/>
        </w:trPr>
        <w:tc>
          <w:tcPr>
            <w:tcW w:type="dxa" w:w="2390"/>
            <w:vAlign w:val="center"/>
            <w:shd w:fill="F3F6F8"/>
          </w:tcPr>
          <w:p>
            <w:pPr>
              <w:keepNext w:val="0"/>
              <w:spacing w:before="0" w:after="0" w:line="283" w:lineRule="auto"/>
              <w:jc w:val="left"/>
            </w:pPr>
            <w:r>
              <w:rPr>
                <w:sz w:val="20"/>
              </w:rPr>
              <w:t>Project</w:t>
            </w:r>
          </w:p>
        </w:tc>
        <w:tc>
          <w:tcPr>
            <w:tcW w:type="dxa" w:w="7776"/>
            <w:vAlign w:val="center"/>
            <w:shd w:fill="F3F6F8"/>
          </w:tcPr>
          <w:p>
            <w:pPr>
              <w:keepNext w:val="0"/>
              <w:spacing w:before="0" w:after="0" w:line="283" w:lineRule="auto"/>
              <w:jc w:val="left"/>
            </w:pPr>
            <w:r>
              <w:rPr>
                <w:sz w:val="20"/>
              </w:rPr>
              <w:t>專案識別、成員與角色、資料版本、任務集合版本</w:t>
            </w:r>
          </w:p>
        </w:tc>
      </w:tr>
      <w:tr>
        <w:trPr>
          <w:cantSplit/>
        </w:trPr>
        <w:tc>
          <w:tcPr>
            <w:tcW w:type="dxa" w:w="2390"/>
            <w:vAlign w:val="center"/>
            <w:shd w:fill="FFFFFF"/>
          </w:tcPr>
          <w:p>
            <w:pPr>
              <w:keepNext w:val="0"/>
              <w:spacing w:before="0" w:after="0" w:line="283" w:lineRule="auto"/>
              <w:jc w:val="left"/>
            </w:pPr>
            <w:r>
              <w:rPr>
                <w:sz w:val="20"/>
              </w:rPr>
              <w:t>SourceDocument</w:t>
            </w:r>
          </w:p>
        </w:tc>
        <w:tc>
          <w:tcPr>
            <w:tcW w:type="dxa" w:w="7776"/>
            <w:vAlign w:val="center"/>
            <w:shd w:fill="FFFFFF"/>
          </w:tcPr>
          <w:p>
            <w:pPr>
              <w:keepNext w:val="0"/>
              <w:spacing w:before="0" w:after="0" w:line="283" w:lineRule="auto"/>
              <w:jc w:val="left"/>
            </w:pPr>
            <w:r>
              <w:rPr>
                <w:sz w:val="20"/>
              </w:rPr>
              <w:t>專案、文件版本、檔案雜湊、類型、解析片段、匯入時間</w:t>
            </w:r>
          </w:p>
        </w:tc>
      </w:tr>
      <w:tr>
        <w:trPr>
          <w:cantSplit/>
        </w:trPr>
        <w:tc>
          <w:tcPr>
            <w:tcW w:type="dxa" w:w="2390"/>
            <w:vAlign w:val="center"/>
            <w:shd w:fill="F3F6F8"/>
          </w:tcPr>
          <w:p>
            <w:pPr>
              <w:keepNext w:val="0"/>
              <w:spacing w:before="0" w:after="0" w:line="283" w:lineRule="auto"/>
              <w:jc w:val="left"/>
            </w:pPr>
            <w:r>
              <w:rPr>
                <w:sz w:val="20"/>
              </w:rPr>
              <w:t>EvidenceRef</w:t>
            </w:r>
          </w:p>
        </w:tc>
        <w:tc>
          <w:tcPr>
            <w:tcW w:type="dxa" w:w="7776"/>
            <w:vAlign w:val="center"/>
            <w:shd w:fill="F3F6F8"/>
          </w:tcPr>
          <w:p>
            <w:pPr>
              <w:keepNext w:val="0"/>
              <w:spacing w:before="0" w:after="0" w:line="283" w:lineRule="auto"/>
              <w:jc w:val="left"/>
            </w:pPr>
            <w:r>
              <w:rPr>
                <w:sz w:val="20"/>
              </w:rPr>
              <w:t>文件識別與版本、片段識別、原文字段與位置</w:t>
            </w:r>
          </w:p>
        </w:tc>
      </w:tr>
      <w:tr>
        <w:trPr>
          <w:cantSplit/>
        </w:trPr>
        <w:tc>
          <w:tcPr>
            <w:tcW w:type="dxa" w:w="2390"/>
            <w:vAlign w:val="center"/>
            <w:shd w:fill="FFFFFF"/>
          </w:tcPr>
          <w:p>
            <w:pPr>
              <w:keepNext w:val="0"/>
              <w:spacing w:before="0" w:after="0" w:line="283" w:lineRule="auto"/>
              <w:jc w:val="left"/>
            </w:pPr>
            <w:r>
              <w:rPr>
                <w:sz w:val="20"/>
              </w:rPr>
              <w:t>Commitment</w:t>
            </w:r>
          </w:p>
        </w:tc>
        <w:tc>
          <w:tcPr>
            <w:tcW w:type="dxa" w:w="7776"/>
            <w:vAlign w:val="center"/>
            <w:shd w:fill="FFFFFF"/>
          </w:tcPr>
          <w:p>
            <w:pPr>
              <w:keepNext w:val="0"/>
              <w:spacing w:before="0" w:after="0" w:line="283" w:lineRule="auto"/>
              <w:jc w:val="left"/>
            </w:pPr>
            <w:r>
              <w:rPr>
                <w:sz w:val="20"/>
              </w:rPr>
              <w:t>承諾內容、欄位值、來源、是否已由人員確認</w:t>
            </w:r>
          </w:p>
        </w:tc>
      </w:tr>
      <w:tr>
        <w:trPr>
          <w:cantSplit/>
        </w:trPr>
        <w:tc>
          <w:tcPr>
            <w:tcW w:type="dxa" w:w="2390"/>
            <w:vAlign w:val="center"/>
            <w:shd w:fill="F3F6F8"/>
          </w:tcPr>
          <w:p>
            <w:pPr>
              <w:keepNext w:val="0"/>
              <w:spacing w:before="0" w:after="0" w:line="283" w:lineRule="auto"/>
              <w:jc w:val="left"/>
            </w:pPr>
            <w:r>
              <w:rPr>
                <w:sz w:val="20"/>
              </w:rPr>
              <w:t>ChangeProposal</w:t>
            </w:r>
          </w:p>
        </w:tc>
        <w:tc>
          <w:tcPr>
            <w:tcW w:type="dxa" w:w="7776"/>
            <w:vAlign w:val="center"/>
            <w:shd w:fill="F3F6F8"/>
          </w:tcPr>
          <w:p>
            <w:pPr>
              <w:keepNext w:val="0"/>
              <w:spacing w:before="0" w:after="0" w:line="283" w:lineRule="auto"/>
              <w:jc w:val="left"/>
            </w:pPr>
            <w:r>
              <w:rPr>
                <w:sz w:val="20"/>
              </w:rPr>
              <w:t>專案資料快照、提案版本、更新內容雜湊、差異、待確認事項</w:t>
            </w:r>
          </w:p>
        </w:tc>
      </w:tr>
      <w:tr>
        <w:trPr>
          <w:cantSplit/>
        </w:trPr>
        <w:tc>
          <w:tcPr>
            <w:tcW w:type="dxa" w:w="2390"/>
            <w:vAlign w:val="center"/>
            <w:shd w:fill="FFFFFF"/>
          </w:tcPr>
          <w:p>
            <w:pPr>
              <w:keepNext w:val="0"/>
              <w:spacing w:before="0" w:after="0" w:line="283" w:lineRule="auto"/>
              <w:jc w:val="left"/>
            </w:pPr>
            <w:r>
              <w:rPr>
                <w:sz w:val="20"/>
              </w:rPr>
              <w:t>ReviewRecord</w:t>
            </w:r>
          </w:p>
        </w:tc>
        <w:tc>
          <w:tcPr>
            <w:tcW w:type="dxa" w:w="7776"/>
            <w:vAlign w:val="center"/>
            <w:shd w:fill="FFFFFF"/>
          </w:tcPr>
          <w:p>
            <w:pPr>
              <w:keepNext w:val="0"/>
              <w:spacing w:before="0" w:after="0" w:line="283" w:lineRule="auto"/>
              <w:jc w:val="left"/>
            </w:pPr>
            <w:r>
              <w:rPr>
                <w:sz w:val="20"/>
              </w:rPr>
              <w:t>審核者、決定、核准的提案版本與雜湊、時間</w:t>
            </w:r>
          </w:p>
        </w:tc>
      </w:tr>
      <w:tr>
        <w:trPr>
          <w:cantSplit/>
        </w:trPr>
        <w:tc>
          <w:tcPr>
            <w:tcW w:type="dxa" w:w="2390"/>
            <w:vAlign w:val="center"/>
            <w:shd w:fill="F3F6F8"/>
          </w:tcPr>
          <w:p>
            <w:pPr>
              <w:keepNext w:val="0"/>
              <w:spacing w:before="0" w:after="0" w:line="283" w:lineRule="auto"/>
              <w:jc w:val="left"/>
            </w:pPr>
            <w:r>
              <w:rPr>
                <w:sz w:val="20"/>
              </w:rPr>
              <w:t>ActionReceipt</w:t>
            </w:r>
          </w:p>
        </w:tc>
        <w:tc>
          <w:tcPr>
            <w:tcW w:type="dxa" w:w="7776"/>
            <w:vAlign w:val="center"/>
            <w:shd w:fill="F3F6F8"/>
          </w:tcPr>
          <w:p>
            <w:pPr>
              <w:keepNext w:val="0"/>
              <w:spacing w:before="0" w:after="0" w:line="283" w:lineRule="auto"/>
              <w:jc w:val="left"/>
            </w:pPr>
            <w:r>
              <w:rPr>
                <w:sz w:val="20"/>
              </w:rPr>
              <w:t>請求識別、套用的提案、更新前後內容、結果與時間</w:t>
            </w:r>
          </w:p>
        </w:tc>
      </w:tr>
    </w:tbl>
    <w:p>
      <w:pPr>
        <w:spacing w:after="60" w:before="0" w:line="240" w:lineRule="auto"/>
      </w:pPr>
      <w:r>
        <w:rPr>
          <w:sz w:val="6"/>
        </w:rPr>
      </w:r>
    </w:p>
    <w:p>
      <w:r>
        <w:t>來源增加或改版時，同步增加專案資料版本。任務被其他人修改時增加任務版本。提案綁定分析時的這些版本；使用者修改提案內容後，產生新的提案版本與內容雜湊。</w:t>
      </w:r>
    </w:p>
    <w:p>
      <w:pPr>
        <w:pStyle w:val="Heading2"/>
      </w:pPr>
      <w:r>
        <w:t>確認與套用</w:t>
      </w:r>
    </w:p>
    <w:p>
      <w:r>
        <w:t>介面以「確認並更新」完成一個操作。後端在同一個 Firestore 交易內讀取成員權限、專案版本、提案與任務版本，確認核准的正是畫面顯示的內容，再保存 ReviewRecord、任務修改及 ActionReceipt。來源或任務版本不符時，回傳需要重新檢閱，保留原有任務。</w:t>
      </w:r>
    </w:p>
    <w:p>
      <w:r>
        <w:t>重複請求使用相同 idempotency key，回傳既有結果。Key 若被用於不同內容則拒絕。Firestore 交易可能重試，交易內僅執行資料檢查及資料庫讀寫，不呼叫模型或外部系統。</w:t>
      </w:r>
      <w:hyperlink r:id="rId19">
        <w:r>
          <w:rPr>
            <w:rFonts w:ascii="Arial" w:hAnsi="Arial" w:eastAsia="Heiti TC"/>
            <w:color w:val="235B7A"/>
            <w:u w:val="single"/>
          </w:rPr>
          <w:t>Firestore 交易文件</w:t>
        </w:r>
      </w:hyperlink>
    </w:p>
    <w:p>
      <w:r>
        <w:t>提案狀態至少包含 DRAFT、READY、NEEDS_CLARIFICATION、STALE、APPLIED 及 REJECTED。只有 READY 且無阻塞事項的提案可被確認並套用。已完成的操作以紀錄回查；修正錯誤更新需建立新的提案，保留變更歷史。</w:t>
      </w:r>
    </w:p>
    <w:p>
      <w:pPr>
        <w:pStyle w:val="Heading2"/>
      </w:pPr>
      <w:r>
        <w:t>最小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390"/>
        <w:gridCol w:w="7776"/>
      </w:tblGrid>
      <w:tr>
        <w:trPr>
          <w:cantSplit/>
          <w:tblHeader/>
        </w:trPr>
        <w:tc>
          <w:tcPr>
            <w:tcW w:type="dxa" w:w="2390"/>
            <w:vAlign w:val="center"/>
            <w:shd w:fill="173B55"/>
          </w:tcPr>
          <w:p>
            <w:pPr>
              <w:keepNext/>
              <w:spacing w:before="0" w:after="0" w:line="283" w:lineRule="auto"/>
              <w:jc w:val="left"/>
            </w:pPr>
            <w:r>
              <w:rPr>
                <w:b/>
                <w:color w:val="FFFFFF"/>
                <w:sz w:val="20"/>
              </w:rPr>
              <w:t>操作</w:t>
            </w:r>
          </w:p>
        </w:tc>
        <w:tc>
          <w:tcPr>
            <w:tcW w:type="dxa" w:w="7776"/>
            <w:vAlign w:val="center"/>
            <w:shd w:fill="173B55"/>
          </w:tcPr>
          <w:p>
            <w:pPr>
              <w:keepNext/>
              <w:spacing w:before="0" w:after="0" w:line="283" w:lineRule="auto"/>
              <w:jc w:val="left"/>
            </w:pPr>
            <w:r>
              <w:rPr>
                <w:b/>
                <w:color w:val="FFFFFF"/>
                <w:sz w:val="20"/>
              </w:rPr>
              <w:t>路徑與目的</w:t>
            </w:r>
          </w:p>
        </w:tc>
      </w:tr>
      <w:tr>
        <w:trPr>
          <w:cantSplit/>
        </w:trPr>
        <w:tc>
          <w:tcPr>
            <w:tcW w:type="dxa" w:w="2390"/>
            <w:vAlign w:val="center"/>
            <w:shd w:fill="F3F6F8"/>
          </w:tcPr>
          <w:p>
            <w:pPr>
              <w:keepNext w:val="0"/>
              <w:spacing w:before="0" w:after="0" w:line="283" w:lineRule="auto"/>
              <w:jc w:val="left"/>
            </w:pPr>
            <w:r>
              <w:rPr>
                <w:sz w:val="20"/>
              </w:rPr>
              <w:t>匯入</w:t>
            </w:r>
          </w:p>
        </w:tc>
        <w:tc>
          <w:tcPr>
            <w:tcW w:type="dxa" w:w="7776"/>
            <w:vAlign w:val="center"/>
            <w:shd w:fill="F3F6F8"/>
          </w:tcPr>
          <w:p>
            <w:pPr>
              <w:keepNext w:val="0"/>
              <w:spacing w:before="0" w:after="0" w:line="283" w:lineRule="auto"/>
              <w:jc w:val="left"/>
            </w:pPr>
            <w:r>
              <w:rPr>
                <w:sz w:val="20"/>
              </w:rPr>
              <w:t>POST /api/projects/{id}/sources，建立資料版本</w:t>
            </w:r>
          </w:p>
        </w:tc>
      </w:tr>
      <w:tr>
        <w:trPr>
          <w:cantSplit/>
        </w:trPr>
        <w:tc>
          <w:tcPr>
            <w:tcW w:type="dxa" w:w="2390"/>
            <w:vAlign w:val="center"/>
            <w:shd w:fill="FFFFFF"/>
          </w:tcPr>
          <w:p>
            <w:pPr>
              <w:keepNext w:val="0"/>
              <w:spacing w:before="0" w:after="0" w:line="283" w:lineRule="auto"/>
              <w:jc w:val="left"/>
            </w:pPr>
            <w:r>
              <w:rPr>
                <w:sz w:val="20"/>
              </w:rPr>
              <w:t>分析</w:t>
            </w:r>
          </w:p>
        </w:tc>
        <w:tc>
          <w:tcPr>
            <w:tcW w:type="dxa" w:w="7776"/>
            <w:vAlign w:val="center"/>
            <w:shd w:fill="FFFFFF"/>
          </w:tcPr>
          <w:p>
            <w:pPr>
              <w:keepNext w:val="0"/>
              <w:spacing w:before="0" w:after="0" w:line="283" w:lineRule="auto"/>
              <w:jc w:val="left"/>
            </w:pPr>
            <w:r>
              <w:rPr>
                <w:sz w:val="20"/>
              </w:rPr>
              <w:t>POST /api/projects/{id}/analyses，回傳分析識別與提案</w:t>
            </w:r>
          </w:p>
        </w:tc>
      </w:tr>
      <w:tr>
        <w:trPr>
          <w:cantSplit/>
        </w:trPr>
        <w:tc>
          <w:tcPr>
            <w:tcW w:type="dxa" w:w="2390"/>
            <w:vAlign w:val="center"/>
            <w:shd w:fill="F3F6F8"/>
          </w:tcPr>
          <w:p>
            <w:pPr>
              <w:keepNext w:val="0"/>
              <w:spacing w:before="0" w:after="0" w:line="283" w:lineRule="auto"/>
              <w:jc w:val="left"/>
            </w:pPr>
            <w:r>
              <w:rPr>
                <w:sz w:val="20"/>
              </w:rPr>
              <w:t>檢閱</w:t>
            </w:r>
          </w:p>
        </w:tc>
        <w:tc>
          <w:tcPr>
            <w:tcW w:type="dxa" w:w="7776"/>
            <w:vAlign w:val="center"/>
            <w:shd w:fill="F3F6F8"/>
          </w:tcPr>
          <w:p>
            <w:pPr>
              <w:keepNext w:val="0"/>
              <w:spacing w:before="0" w:after="0" w:line="283" w:lineRule="auto"/>
              <w:jc w:val="left"/>
            </w:pPr>
            <w:r>
              <w:rPr>
                <w:sz w:val="20"/>
              </w:rPr>
              <w:t>GET /api/proposals/{id}，取得依據、差異與快照版本</w:t>
            </w:r>
          </w:p>
        </w:tc>
      </w:tr>
      <w:tr>
        <w:trPr>
          <w:cantSplit/>
        </w:trPr>
        <w:tc>
          <w:tcPr>
            <w:tcW w:type="dxa" w:w="2390"/>
            <w:vAlign w:val="center"/>
            <w:shd w:fill="FFFFFF"/>
          </w:tcPr>
          <w:p>
            <w:pPr>
              <w:keepNext w:val="0"/>
              <w:spacing w:before="0" w:after="0" w:line="283" w:lineRule="auto"/>
              <w:jc w:val="left"/>
            </w:pPr>
            <w:r>
              <w:rPr>
                <w:sz w:val="20"/>
              </w:rPr>
              <w:t>修訂</w:t>
            </w:r>
          </w:p>
        </w:tc>
        <w:tc>
          <w:tcPr>
            <w:tcW w:type="dxa" w:w="7776"/>
            <w:vAlign w:val="center"/>
            <w:shd w:fill="FFFFFF"/>
          </w:tcPr>
          <w:p>
            <w:pPr>
              <w:keepNext w:val="0"/>
              <w:spacing w:before="0" w:after="0" w:line="283" w:lineRule="auto"/>
              <w:jc w:val="left"/>
            </w:pPr>
            <w:r>
              <w:rPr>
                <w:sz w:val="20"/>
              </w:rPr>
              <w:t>PATCH /api/proposals/{id}，條件式建立新版提案</w:t>
            </w:r>
          </w:p>
        </w:tc>
      </w:tr>
      <w:tr>
        <w:trPr>
          <w:cantSplit/>
        </w:trPr>
        <w:tc>
          <w:tcPr>
            <w:tcW w:type="dxa" w:w="2390"/>
            <w:vAlign w:val="center"/>
            <w:shd w:fill="F3F6F8"/>
          </w:tcPr>
          <w:p>
            <w:pPr>
              <w:keepNext w:val="0"/>
              <w:spacing w:before="0" w:after="0" w:line="283" w:lineRule="auto"/>
              <w:jc w:val="left"/>
            </w:pPr>
            <w:r>
              <w:rPr>
                <w:sz w:val="20"/>
              </w:rPr>
              <w:t>套用</w:t>
            </w:r>
          </w:p>
        </w:tc>
        <w:tc>
          <w:tcPr>
            <w:tcW w:type="dxa" w:w="7776"/>
            <w:vAlign w:val="center"/>
            <w:shd w:fill="F3F6F8"/>
          </w:tcPr>
          <w:p>
            <w:pPr>
              <w:keepNext w:val="0"/>
              <w:spacing w:before="0" w:after="0" w:line="283" w:lineRule="auto"/>
              <w:jc w:val="left"/>
            </w:pPr>
            <w:r>
              <w:rPr>
                <w:sz w:val="20"/>
              </w:rPr>
              <w:t>POST /api/proposals/{id}/apply，驗證版本並交易更新</w:t>
            </w:r>
          </w:p>
        </w:tc>
      </w:tr>
      <w:tr>
        <w:trPr>
          <w:cantSplit/>
        </w:trPr>
        <w:tc>
          <w:tcPr>
            <w:tcW w:type="dxa" w:w="2390"/>
            <w:vAlign w:val="center"/>
            <w:shd w:fill="FFFFFF"/>
          </w:tcPr>
          <w:p>
            <w:pPr>
              <w:keepNext w:val="0"/>
              <w:spacing w:before="0" w:after="0" w:line="283" w:lineRule="auto"/>
              <w:jc w:val="left"/>
            </w:pPr>
            <w:r>
              <w:rPr>
                <w:sz w:val="20"/>
              </w:rPr>
              <w:t>結果</w:t>
            </w:r>
          </w:p>
        </w:tc>
        <w:tc>
          <w:tcPr>
            <w:tcW w:type="dxa" w:w="7776"/>
            <w:vAlign w:val="center"/>
            <w:shd w:fill="FFFFFF"/>
          </w:tcPr>
          <w:p>
            <w:pPr>
              <w:keepNext w:val="0"/>
              <w:spacing w:before="0" w:after="0" w:line="283" w:lineRule="auto"/>
              <w:jc w:val="left"/>
            </w:pPr>
            <w:r>
              <w:rPr>
                <w:sz w:val="20"/>
              </w:rPr>
              <w:t>GET /api/actions/{id}，回查更新結果與前後內容</w:t>
            </w:r>
          </w:p>
        </w:tc>
      </w:tr>
    </w:tbl>
    <w:p>
      <w:pPr>
        <w:spacing w:after="60" w:before="0" w:line="240" w:lineRule="auto"/>
      </w:pPr>
      <w:r>
        <w:rPr>
          <w:sz w:val="6"/>
        </w:rPr>
      </w:r>
    </w:p>
    <w:p>
      <w:r>
        <w:t>所有 API 由後端驗證身分與專案權限，不能只依靠前端按鈕。Firebase token 驗證可依官方 Admin SDK 實作；專案成員授權仍是應用責任。</w:t>
      </w:r>
      <w:hyperlink r:id="rId20">
        <w:r>
          <w:rPr>
            <w:rFonts w:ascii="Arial" w:hAnsi="Arial" w:eastAsia="Heiti TC"/>
            <w:color w:val="235B7A"/>
            <w:u w:val="single"/>
          </w:rPr>
          <w:t>Firebase 身分驗證文件</w:t>
        </w:r>
      </w:hyperlink>
    </w:p>
    <w:p>
      <w:pPr>
        <w:pStyle w:val="Heading1"/>
      </w:pPr>
      <w:r>
        <w:t>07 資料保護與展示環境</w:t>
      </w:r>
    </w:p>
    <w:p>
      <w:r>
        <w:t>公開展示採合成專案資料。訪客可進入獨立展示空間並以限定角色測試，彼此資料隔離，不能讀寫其他專案。真實試用資料另置於受邀空間，預設不進入公開 repository、影片或執行日誌。</w:t>
      </w:r>
    </w:p>
    <w:p>
      <w:r>
        <w:t>原始文件視為分析資料，文件中的指令不會授予工具或系統權限。模型只能產生受限欄位的提案，沒有直接寫入、寄信、刪除或任意網路存取能力。日期與人名缺漏保留待確認，不用模型自行產生的信心百分比作核准條件。</w:t>
      </w:r>
    </w:p>
    <w:p>
      <w:r>
        <w:t>後端使用專用 service account。憑證透過受控設定提供，公開程式碼僅附環境變數名稱與範例。使用伺服器端 SDK 的操作須在每個入口實作專案授權，不能假定用戶端資料庫規則會代替後端授權。</w:t>
      </w:r>
    </w:p>
    <w:p>
      <w:pPr>
        <w:pStyle w:val="Heading2"/>
      </w:pPr>
      <w:r>
        <w:t>最低必要檢查</w:t>
      </w:r>
    </w:p>
    <w:p>
      <w:pPr>
        <w:pStyle w:val="ListBullet"/>
      </w:pPr>
      <w:r>
        <w:t>使用者甲無法透過替換識別碼讀取或套用使用者乙的提案。</w:t>
      </w:r>
    </w:p>
    <w:p>
      <w:pPr>
        <w:pStyle w:val="ListBullet"/>
      </w:pPr>
      <w:r>
        <w:t>未授權角色直接呼叫套用 API 也會被拒絕。</w:t>
      </w:r>
    </w:p>
    <w:p>
      <w:pPr>
        <w:pStyle w:val="ListBullet"/>
      </w:pPr>
      <w:r>
        <w:t>文件內的惡意指令不會造成資料外傳或繞過確認流程。</w:t>
      </w:r>
    </w:p>
    <w:p>
      <w:pPr>
        <w:pStyle w:val="ListBullet"/>
      </w:pPr>
      <w:r>
        <w:t>已過期的提案、重複點擊及並行更新不會造成靜默覆寫。</w:t>
      </w:r>
    </w:p>
    <w:p>
      <w:pPr>
        <w:pStyle w:val="ListBullet"/>
      </w:pPr>
      <w:r>
        <w:t>檔案大小、格式、單案頁數與每個展示空間的呼叫次數受限。</w:t>
      </w:r>
    </w:p>
    <w:p>
      <w:r>
        <w:t>日誌主要記錄 request ID、模型識別、提示詞版本、耗時、用量與結果分類。公開展示案例可保留至評審結束，訪客臨時資料規劃七天後進入到期清理，須驗證文件與資料庫紀錄一併處理；受邀試用資料的保存期需與提供者確認。來源存取及刪除都須遵循專案權限。</w:t>
      </w:r>
    </w:p>
    <w:p>
      <w:r>
        <w:t>若增加 Google Sheets 串接，外部寫入採可追蹤的工作佇列與重試設計，並先處理重複寫入及部分失敗。外部系統寫入不能宣稱與 Firestore 更新具有同一個原子交易；只在完成寫入與回讀後顯示成功。</w:t>
      </w:r>
    </w:p>
    <w:p>
      <w:pPr>
        <w:pStyle w:val="Heading1"/>
      </w:pPr>
      <w:r>
        <w:t>08 測試設計與驗收指標</w:t>
      </w:r>
    </w:p>
    <w:p>
      <w:r>
        <w:t>建立 30 個案例包，分為 20 個開發案例與 10 個保留案例。每包包含原始交接資料、新要求、既有任務及人工標註答案。以來源情境分組後切分，避免同一案例的小幅改寫同時出現在兩組。第一週由 B 整理標註，A 可查看開發組；保留組至版本固定後才用於最終評估。</w:t>
      </w:r>
    </w:p>
    <w:p>
      <w:r>
        <w:t>案例類型包括沒有變更、日期衝突、範圍增加、責任不明、文件改版與混合例外。至少加入無法得出結論、表面文字不同但意義相同，以及沒有可支持依據的案例，避免測試只涵蓋容易成功的情境。</w:t>
      </w:r>
    </w:p>
    <w:p>
      <w:pPr>
        <w:pStyle w:val="Heading2"/>
      </w:pPr>
      <w:r>
        <w:t>比較方法</w:t>
      </w:r>
    </w:p>
    <w:p>
      <w:r>
        <w:t>品質比較使用相同資料與答案，評估人工處理、同一模型加完整單次提示詞，以及 Handoff Guard 原型。直接模型基線的提示詞也需正常調整至合理品質，並保留內容與參數，避免刻意設置弱基線。</w:t>
      </w:r>
    </w:p>
    <w:p>
      <w:r>
        <w:t>時間比較另安排三至五位使用者，以相近難度的配對案例及交錯順序測試，降低重複看過答案的學習效應。記錄從取得資料到完成可接受更新的總時間，包含閱讀、模型等待、人工修正及確認。整理中位數、範圍與樣本數，不只挑選最快的一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045"/>
        <w:gridCol w:w="5645"/>
        <w:gridCol w:w="2477"/>
      </w:tblGrid>
      <w:tr>
        <w:trPr>
          <w:cantSplit/>
          <w:tblHeader/>
        </w:trPr>
        <w:tc>
          <w:tcPr>
            <w:tcW w:type="dxa" w:w="2045"/>
            <w:vAlign w:val="center"/>
            <w:shd w:fill="173B55"/>
          </w:tcPr>
          <w:p>
            <w:pPr>
              <w:keepNext/>
              <w:spacing w:before="0" w:after="0" w:line="283" w:lineRule="auto"/>
              <w:jc w:val="left"/>
            </w:pPr>
            <w:r>
              <w:rPr>
                <w:b/>
                <w:color w:val="FFFFFF"/>
                <w:sz w:val="20"/>
              </w:rPr>
              <w:t>指標</w:t>
            </w:r>
          </w:p>
        </w:tc>
        <w:tc>
          <w:tcPr>
            <w:tcW w:type="dxa" w:w="5645"/>
            <w:vAlign w:val="center"/>
            <w:shd w:fill="173B55"/>
          </w:tcPr>
          <w:p>
            <w:pPr>
              <w:keepNext/>
              <w:spacing w:before="0" w:after="0" w:line="283" w:lineRule="auto"/>
              <w:jc w:val="left"/>
            </w:pPr>
            <w:r>
              <w:rPr>
                <w:b/>
                <w:color w:val="FFFFFF"/>
                <w:sz w:val="20"/>
              </w:rPr>
              <w:t>計算方式</w:t>
            </w:r>
          </w:p>
        </w:tc>
        <w:tc>
          <w:tcPr>
            <w:tcW w:type="dxa" w:w="2477"/>
            <w:vAlign w:val="center"/>
            <w:shd w:fill="173B55"/>
          </w:tcPr>
          <w:p>
            <w:pPr>
              <w:keepNext/>
              <w:spacing w:before="0" w:after="0" w:line="283" w:lineRule="auto"/>
              <w:jc w:val="left"/>
            </w:pPr>
            <w:r>
              <w:rPr>
                <w:b/>
                <w:color w:val="FFFFFF"/>
                <w:sz w:val="20"/>
              </w:rPr>
              <w:t>初始驗收目標</w:t>
            </w:r>
          </w:p>
        </w:tc>
      </w:tr>
      <w:tr>
        <w:trPr>
          <w:cantSplit/>
        </w:trPr>
        <w:tc>
          <w:tcPr>
            <w:tcW w:type="dxa" w:w="2045"/>
            <w:vAlign w:val="center"/>
            <w:shd w:fill="F3F6F8"/>
          </w:tcPr>
          <w:p>
            <w:pPr>
              <w:keepNext w:val="0"/>
              <w:spacing w:before="0" w:after="0" w:line="283" w:lineRule="auto"/>
              <w:jc w:val="left"/>
            </w:pPr>
            <w:r>
              <w:rPr>
                <w:sz w:val="20"/>
              </w:rPr>
              <w:t>交接時間改善</w:t>
            </w:r>
          </w:p>
        </w:tc>
        <w:tc>
          <w:tcPr>
            <w:tcW w:type="dxa" w:w="5645"/>
            <w:vAlign w:val="center"/>
            <w:shd w:fill="F3F6F8"/>
          </w:tcPr>
          <w:p>
            <w:pPr>
              <w:keepNext w:val="0"/>
              <w:spacing w:before="0" w:after="0" w:line="283" w:lineRule="auto"/>
              <w:jc w:val="left"/>
            </w:pPr>
            <w:r>
              <w:rPr>
                <w:sz w:val="20"/>
              </w:rPr>
              <w:t>配對案例的人工時間與輔助時間差，再除以人工時間</w:t>
            </w:r>
          </w:p>
        </w:tc>
        <w:tc>
          <w:tcPr>
            <w:tcW w:type="dxa" w:w="2477"/>
            <w:vAlign w:val="center"/>
            <w:shd w:fill="F3F6F8"/>
          </w:tcPr>
          <w:p>
            <w:pPr>
              <w:keepNext w:val="0"/>
              <w:spacing w:before="0" w:after="0" w:line="283" w:lineRule="auto"/>
              <w:jc w:val="left"/>
            </w:pPr>
            <w:r>
              <w:rPr>
                <w:sz w:val="20"/>
              </w:rPr>
              <w:t>中位數改善至少 50%</w:t>
            </w:r>
          </w:p>
        </w:tc>
      </w:tr>
      <w:tr>
        <w:trPr>
          <w:cantSplit/>
        </w:trPr>
        <w:tc>
          <w:tcPr>
            <w:tcW w:type="dxa" w:w="2045"/>
            <w:vAlign w:val="center"/>
            <w:shd w:fill="FFFFFF"/>
          </w:tcPr>
          <w:p>
            <w:pPr>
              <w:keepNext w:val="0"/>
              <w:spacing w:before="0" w:after="0" w:line="283" w:lineRule="auto"/>
              <w:jc w:val="left"/>
            </w:pPr>
            <w:r>
              <w:rPr>
                <w:sz w:val="20"/>
              </w:rPr>
              <w:t>衝突 Precision</w:t>
            </w:r>
          </w:p>
        </w:tc>
        <w:tc>
          <w:tcPr>
            <w:tcW w:type="dxa" w:w="5645"/>
            <w:vAlign w:val="center"/>
            <w:shd w:fill="FFFFFF"/>
          </w:tcPr>
          <w:p>
            <w:pPr>
              <w:keepNext w:val="0"/>
              <w:spacing w:before="0" w:after="0" w:line="283" w:lineRule="auto"/>
              <w:jc w:val="left"/>
            </w:pPr>
            <w:r>
              <w:rPr>
                <w:sz w:val="20"/>
              </w:rPr>
              <w:t>正確辨識的衝突數除以所有衝突提醒數</w:t>
            </w:r>
          </w:p>
        </w:tc>
        <w:tc>
          <w:tcPr>
            <w:tcW w:type="dxa" w:w="2477"/>
            <w:vAlign w:val="center"/>
            <w:shd w:fill="FFFFFF"/>
          </w:tcPr>
          <w:p>
            <w:pPr>
              <w:keepNext w:val="0"/>
              <w:spacing w:before="0" w:after="0" w:line="283" w:lineRule="auto"/>
              <w:jc w:val="left"/>
            </w:pPr>
            <w:r>
              <w:rPr>
                <w:sz w:val="20"/>
              </w:rPr>
              <w:t>至少 90%</w:t>
            </w:r>
          </w:p>
        </w:tc>
      </w:tr>
      <w:tr>
        <w:trPr>
          <w:cantSplit/>
        </w:trPr>
        <w:tc>
          <w:tcPr>
            <w:tcW w:type="dxa" w:w="2045"/>
            <w:vAlign w:val="center"/>
            <w:shd w:fill="F3F6F8"/>
          </w:tcPr>
          <w:p>
            <w:pPr>
              <w:keepNext w:val="0"/>
              <w:spacing w:before="0" w:after="0" w:line="283" w:lineRule="auto"/>
              <w:jc w:val="left"/>
            </w:pPr>
            <w:r>
              <w:rPr>
                <w:sz w:val="20"/>
              </w:rPr>
              <w:t>衝突 Recall</w:t>
            </w:r>
          </w:p>
        </w:tc>
        <w:tc>
          <w:tcPr>
            <w:tcW w:type="dxa" w:w="5645"/>
            <w:vAlign w:val="center"/>
            <w:shd w:fill="F3F6F8"/>
          </w:tcPr>
          <w:p>
            <w:pPr>
              <w:keepNext w:val="0"/>
              <w:spacing w:before="0" w:after="0" w:line="283" w:lineRule="auto"/>
              <w:jc w:val="left"/>
            </w:pPr>
            <w:r>
              <w:rPr>
                <w:sz w:val="20"/>
              </w:rPr>
              <w:t>正確辨識的衝突數除以人工標註衝突總數</w:t>
            </w:r>
          </w:p>
        </w:tc>
        <w:tc>
          <w:tcPr>
            <w:tcW w:type="dxa" w:w="2477"/>
            <w:vAlign w:val="center"/>
            <w:shd w:fill="F3F6F8"/>
          </w:tcPr>
          <w:p>
            <w:pPr>
              <w:keepNext w:val="0"/>
              <w:spacing w:before="0" w:after="0" w:line="283" w:lineRule="auto"/>
              <w:jc w:val="left"/>
            </w:pPr>
            <w:r>
              <w:rPr>
                <w:sz w:val="20"/>
              </w:rPr>
              <w:t>至少 90%</w:t>
            </w:r>
          </w:p>
        </w:tc>
      </w:tr>
      <w:tr>
        <w:trPr>
          <w:cantSplit/>
        </w:trPr>
        <w:tc>
          <w:tcPr>
            <w:tcW w:type="dxa" w:w="2045"/>
            <w:vAlign w:val="center"/>
            <w:shd w:fill="FFFFFF"/>
          </w:tcPr>
          <w:p>
            <w:pPr>
              <w:keepNext w:val="0"/>
              <w:spacing w:before="0" w:after="0" w:line="283" w:lineRule="auto"/>
              <w:jc w:val="left"/>
            </w:pPr>
            <w:r>
              <w:rPr>
                <w:sz w:val="20"/>
              </w:rPr>
              <w:t>主張有來源支持</w:t>
            </w:r>
          </w:p>
        </w:tc>
        <w:tc>
          <w:tcPr>
            <w:tcW w:type="dxa" w:w="5645"/>
            <w:vAlign w:val="center"/>
            <w:shd w:fill="FFFFFF"/>
          </w:tcPr>
          <w:p>
            <w:pPr>
              <w:keepNext w:val="0"/>
              <w:spacing w:before="0" w:after="0" w:line="283" w:lineRule="auto"/>
              <w:jc w:val="left"/>
            </w:pPr>
            <w:r>
              <w:rPr>
                <w:sz w:val="20"/>
              </w:rPr>
              <w:t>人工判定原文支持的關鍵主張數除以關鍵主張總數</w:t>
            </w:r>
          </w:p>
        </w:tc>
        <w:tc>
          <w:tcPr>
            <w:tcW w:type="dxa" w:w="2477"/>
            <w:vAlign w:val="center"/>
            <w:shd w:fill="FFFFFF"/>
          </w:tcPr>
          <w:p>
            <w:pPr>
              <w:keepNext w:val="0"/>
              <w:spacing w:before="0" w:after="0" w:line="283" w:lineRule="auto"/>
              <w:jc w:val="left"/>
            </w:pPr>
            <w:r>
              <w:rPr>
                <w:sz w:val="20"/>
              </w:rPr>
              <w:t>至少 95%</w:t>
            </w:r>
          </w:p>
        </w:tc>
      </w:tr>
      <w:tr>
        <w:trPr>
          <w:cantSplit/>
        </w:trPr>
        <w:tc>
          <w:tcPr>
            <w:tcW w:type="dxa" w:w="2045"/>
            <w:vAlign w:val="center"/>
            <w:shd w:fill="F3F6F8"/>
          </w:tcPr>
          <w:p>
            <w:pPr>
              <w:keepNext w:val="0"/>
              <w:spacing w:before="0" w:after="0" w:line="283" w:lineRule="auto"/>
              <w:jc w:val="left"/>
            </w:pPr>
            <w:r>
              <w:rPr>
                <w:sz w:val="20"/>
              </w:rPr>
              <w:t>任務影響辨識</w:t>
            </w:r>
          </w:p>
        </w:tc>
        <w:tc>
          <w:tcPr>
            <w:tcW w:type="dxa" w:w="5645"/>
            <w:vAlign w:val="center"/>
            <w:shd w:fill="F3F6F8"/>
          </w:tcPr>
          <w:p>
            <w:pPr>
              <w:keepNext w:val="0"/>
              <w:spacing w:before="0" w:after="0" w:line="283" w:lineRule="auto"/>
              <w:jc w:val="left"/>
            </w:pPr>
            <w:r>
              <w:rPr>
                <w:sz w:val="20"/>
              </w:rPr>
              <w:t>正確任務關聯的 Precision 與 Recall</w:t>
            </w:r>
          </w:p>
        </w:tc>
        <w:tc>
          <w:tcPr>
            <w:tcW w:type="dxa" w:w="2477"/>
            <w:vAlign w:val="center"/>
            <w:shd w:fill="F3F6F8"/>
          </w:tcPr>
          <w:p>
            <w:pPr>
              <w:keepNext w:val="0"/>
              <w:spacing w:before="0" w:after="0" w:line="283" w:lineRule="auto"/>
              <w:jc w:val="left"/>
            </w:pPr>
            <w:r>
              <w:rPr>
                <w:sz w:val="20"/>
              </w:rPr>
              <w:t>兩者至少 85%</w:t>
            </w:r>
          </w:p>
        </w:tc>
      </w:tr>
      <w:tr>
        <w:trPr>
          <w:cantSplit/>
        </w:trPr>
        <w:tc>
          <w:tcPr>
            <w:tcW w:type="dxa" w:w="2045"/>
            <w:vAlign w:val="center"/>
            <w:shd w:fill="FFFFFF"/>
          </w:tcPr>
          <w:p>
            <w:pPr>
              <w:keepNext w:val="0"/>
              <w:spacing w:before="0" w:after="0" w:line="283" w:lineRule="auto"/>
              <w:jc w:val="left"/>
            </w:pPr>
            <w:r>
              <w:rPr>
                <w:sz w:val="20"/>
              </w:rPr>
              <w:t>完整流程成功</w:t>
            </w:r>
          </w:p>
        </w:tc>
        <w:tc>
          <w:tcPr>
            <w:tcW w:type="dxa" w:w="5645"/>
            <w:vAlign w:val="center"/>
            <w:shd w:fill="FFFFFF"/>
          </w:tcPr>
          <w:p>
            <w:pPr>
              <w:keepNext w:val="0"/>
              <w:spacing w:before="0" w:after="0" w:line="283" w:lineRule="auto"/>
              <w:jc w:val="left"/>
            </w:pPr>
            <w:r>
              <w:rPr>
                <w:sz w:val="20"/>
              </w:rPr>
              <w:t>在規定輸入內完成分析與一次正確更新的案例比例</w:t>
            </w:r>
          </w:p>
        </w:tc>
        <w:tc>
          <w:tcPr>
            <w:tcW w:type="dxa" w:w="2477"/>
            <w:vAlign w:val="center"/>
            <w:shd w:fill="FFFFFF"/>
          </w:tcPr>
          <w:p>
            <w:pPr>
              <w:keepNext w:val="0"/>
              <w:spacing w:before="0" w:after="0" w:line="283" w:lineRule="auto"/>
              <w:jc w:val="left"/>
            </w:pPr>
            <w:r>
              <w:rPr>
                <w:sz w:val="20"/>
              </w:rPr>
              <w:t>至少 90%</w:t>
            </w:r>
          </w:p>
        </w:tc>
      </w:tr>
      <w:tr>
        <w:trPr>
          <w:cantSplit/>
        </w:trPr>
        <w:tc>
          <w:tcPr>
            <w:tcW w:type="dxa" w:w="2045"/>
            <w:vAlign w:val="center"/>
            <w:shd w:fill="F3F6F8"/>
          </w:tcPr>
          <w:p>
            <w:pPr>
              <w:keepNext w:val="0"/>
              <w:spacing w:before="0" w:after="0" w:line="283" w:lineRule="auto"/>
              <w:jc w:val="left"/>
            </w:pPr>
            <w:r>
              <w:rPr>
                <w:sz w:val="20"/>
              </w:rPr>
              <w:t>分析延遲</w:t>
            </w:r>
          </w:p>
        </w:tc>
        <w:tc>
          <w:tcPr>
            <w:tcW w:type="dxa" w:w="5645"/>
            <w:vAlign w:val="center"/>
            <w:shd w:fill="F3F6F8"/>
          </w:tcPr>
          <w:p>
            <w:pPr>
              <w:keepNext w:val="0"/>
              <w:spacing w:before="0" w:after="0" w:line="283" w:lineRule="auto"/>
              <w:jc w:val="left"/>
            </w:pPr>
            <w:r>
              <w:rPr>
                <w:sz w:val="20"/>
              </w:rPr>
              <w:t>暖機與冷啟動分開，記錄中位數及 P95</w:t>
            </w:r>
          </w:p>
        </w:tc>
        <w:tc>
          <w:tcPr>
            <w:tcW w:type="dxa" w:w="2477"/>
            <w:vAlign w:val="center"/>
            <w:shd w:fill="F3F6F8"/>
          </w:tcPr>
          <w:p>
            <w:pPr>
              <w:keepNext w:val="0"/>
              <w:spacing w:before="0" w:after="0" w:line="283" w:lineRule="auto"/>
              <w:jc w:val="left"/>
            </w:pPr>
            <w:r>
              <w:rPr>
                <w:sz w:val="20"/>
              </w:rPr>
              <w:t>暖機 P95 先以 60 秒為目標</w:t>
            </w:r>
          </w:p>
        </w:tc>
      </w:tr>
    </w:tbl>
    <w:p>
      <w:pPr>
        <w:spacing w:after="60" w:before="0" w:line="240" w:lineRule="auto"/>
      </w:pPr>
      <w:r>
        <w:rPr>
          <w:sz w:val="6"/>
        </w:rPr>
      </w:r>
    </w:p>
    <w:p>
      <w:r>
        <w:t>分母為零時記錄 N/A；必須同時公開原始計數、案例數與失敗例。小樣本 P95 僅供原型調校。合成案例結果不能等同真實企業成效，使用者研究也需標示樣本來源。</w:t>
      </w:r>
    </w:p>
    <w:p>
      <w:r>
        <w:t>權限、版本及防重複更新是發布前必要條件：測試中不得出現未核准寫入、跨專案存取、過期提案套用或重複修改。另測模型逾時、無效格式、虛構來源、錯誤任務識別及交易重試。這些檢查的通過僅代表既定測試範圍。</w:t>
      </w:r>
    </w:p>
    <w:p>
      <w:r>
        <w:t>版本固定後，每個保留案例跑三次以觀察模型變異，分別報告單次及整體結果。若看過保留組後再調整提示詞，該組轉為開發資料；補充新的未見案例才能再做最終比較。保存 commit、模型、提示詞、案例版本、原始回應、評分與用量。</w:t>
      </w:r>
    </w:p>
    <w:p>
      <w:pPr>
        <w:pStyle w:val="Heading1"/>
      </w:pPr>
      <w:r>
        <w:t>09 分工與工作量</w:t>
      </w:r>
    </w:p>
    <w:p>
      <w:r>
        <w:t>規劃總量為 160 人時，其中 A 約 86 人時，B 約 74 人時，已含 12 人時緩衝。相當於三週平均每人每週約 25 至 29 小時。A 與 B 是角色代稱，實際由兩位成員依熟悉程度分配；若時間不足，優先縮減輸入格式及擴充項目。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792"/>
        <w:gridCol w:w="5486"/>
        <w:gridCol w:w="1296"/>
        <w:gridCol w:w="1296"/>
        <w:gridCol w:w="1296"/>
      </w:tblGrid>
      <w:tr>
        <w:trPr>
          <w:cantSplit/>
          <w:tblHeader/>
        </w:trPr>
        <w:tc>
          <w:tcPr>
            <w:tcW w:type="dxa" w:w="792"/>
            <w:vAlign w:val="center"/>
            <w:shd w:fill="173B55"/>
          </w:tcPr>
          <w:p>
            <w:pPr>
              <w:keepNext/>
              <w:spacing w:before="0" w:after="0" w:line="283" w:lineRule="auto"/>
              <w:jc w:val="center"/>
            </w:pPr>
            <w:r>
              <w:rPr>
                <w:b/>
                <w:color w:val="FFFFFF"/>
                <w:sz w:val="20"/>
              </w:rPr>
              <w:t>編號</w:t>
            </w:r>
          </w:p>
        </w:tc>
        <w:tc>
          <w:tcPr>
            <w:tcW w:type="dxa" w:w="5486"/>
            <w:vAlign w:val="center"/>
            <w:shd w:fill="173B55"/>
          </w:tcPr>
          <w:p>
            <w:pPr>
              <w:keepNext/>
              <w:spacing w:before="0" w:after="0" w:line="283" w:lineRule="auto"/>
              <w:jc w:val="left"/>
            </w:pPr>
            <w:r>
              <w:rPr>
                <w:b/>
                <w:color w:val="FFFFFF"/>
                <w:sz w:val="20"/>
              </w:rPr>
              <w:t>工作項目</w:t>
            </w:r>
          </w:p>
        </w:tc>
        <w:tc>
          <w:tcPr>
            <w:tcW w:type="dxa" w:w="1296"/>
            <w:vAlign w:val="center"/>
            <w:shd w:fill="173B55"/>
          </w:tcPr>
          <w:p>
            <w:pPr>
              <w:keepNext/>
              <w:spacing w:before="0" w:after="0" w:line="283" w:lineRule="auto"/>
              <w:jc w:val="center"/>
            </w:pPr>
            <w:r>
              <w:rPr>
                <w:b/>
                <w:color w:val="FFFFFF"/>
                <w:sz w:val="20"/>
              </w:rPr>
              <w:t>A 人時</w:t>
            </w:r>
          </w:p>
        </w:tc>
        <w:tc>
          <w:tcPr>
            <w:tcW w:type="dxa" w:w="1296"/>
            <w:vAlign w:val="center"/>
            <w:shd w:fill="173B55"/>
          </w:tcPr>
          <w:p>
            <w:pPr>
              <w:keepNext/>
              <w:spacing w:before="0" w:after="0" w:line="283" w:lineRule="auto"/>
              <w:jc w:val="center"/>
            </w:pPr>
            <w:r>
              <w:rPr>
                <w:b/>
                <w:color w:val="FFFFFF"/>
                <w:sz w:val="20"/>
              </w:rPr>
              <w:t>B 人時</w:t>
            </w:r>
          </w:p>
        </w:tc>
        <w:tc>
          <w:tcPr>
            <w:tcW w:type="dxa" w:w="1296"/>
            <w:vAlign w:val="center"/>
            <w:shd w:fill="173B55"/>
          </w:tcPr>
          <w:p>
            <w:pPr>
              <w:keepNext/>
              <w:spacing w:before="0" w:after="0" w:line="283" w:lineRule="auto"/>
              <w:jc w:val="center"/>
            </w:pPr>
            <w:r>
              <w:rPr>
                <w:b/>
                <w:color w:val="FFFFFF"/>
                <w:sz w:val="20"/>
              </w:rPr>
              <w:t>合計</w:t>
            </w:r>
          </w:p>
        </w:tc>
      </w:tr>
      <w:tr>
        <w:trPr>
          <w:cantSplit/>
        </w:trPr>
        <w:tc>
          <w:tcPr>
            <w:tcW w:type="dxa" w:w="792"/>
            <w:vAlign w:val="center"/>
            <w:shd w:fill="F3F6F8"/>
          </w:tcPr>
          <w:p>
            <w:pPr>
              <w:keepNext w:val="0"/>
              <w:spacing w:before="0" w:after="0" w:line="283" w:lineRule="auto"/>
              <w:jc w:val="center"/>
            </w:pPr>
            <w:r>
              <w:rPr>
                <w:sz w:val="20"/>
              </w:rPr>
              <w:t>W01</w:t>
            </w:r>
          </w:p>
        </w:tc>
        <w:tc>
          <w:tcPr>
            <w:tcW w:type="dxa" w:w="5486"/>
            <w:vAlign w:val="center"/>
            <w:shd w:fill="F3F6F8"/>
          </w:tcPr>
          <w:p>
            <w:pPr>
              <w:keepNext w:val="0"/>
              <w:spacing w:before="0" w:after="0" w:line="283" w:lineRule="auto"/>
              <w:jc w:val="left"/>
            </w:pPr>
            <w:r>
              <w:rPr>
                <w:sz w:val="20"/>
              </w:rPr>
              <w:t>訪談與代表案例</w:t>
            </w:r>
          </w:p>
        </w:tc>
        <w:tc>
          <w:tcPr>
            <w:tcW w:type="dxa" w:w="1296"/>
            <w:vAlign w:val="center"/>
            <w:shd w:fill="F3F6F8"/>
          </w:tcPr>
          <w:p>
            <w:pPr>
              <w:keepNext w:val="0"/>
              <w:spacing w:before="0" w:after="0" w:line="283" w:lineRule="auto"/>
              <w:jc w:val="center"/>
            </w:pPr>
            <w:r>
              <w:rPr>
                <w:sz w:val="20"/>
              </w:rPr>
              <w:t>2</w:t>
            </w:r>
          </w:p>
        </w:tc>
        <w:tc>
          <w:tcPr>
            <w:tcW w:type="dxa" w:w="1296"/>
            <w:vAlign w:val="center"/>
            <w:shd w:fill="F3F6F8"/>
          </w:tcPr>
          <w:p>
            <w:pPr>
              <w:keepNext w:val="0"/>
              <w:spacing w:before="0" w:after="0" w:line="283" w:lineRule="auto"/>
              <w:jc w:val="center"/>
            </w:pPr>
            <w:r>
              <w:rPr>
                <w:sz w:val="20"/>
              </w:rPr>
              <w:t>8</w:t>
            </w:r>
          </w:p>
        </w:tc>
        <w:tc>
          <w:tcPr>
            <w:tcW w:type="dxa" w:w="1296"/>
            <w:vAlign w:val="center"/>
            <w:shd w:fill="F3F6F8"/>
          </w:tcPr>
          <w:p>
            <w:pPr>
              <w:keepNext w:val="0"/>
              <w:spacing w:before="0" w:after="0" w:line="283" w:lineRule="auto"/>
              <w:jc w:val="center"/>
            </w:pPr>
            <w:r>
              <w:rPr>
                <w:sz w:val="20"/>
              </w:rPr>
              <w:t>10</w:t>
            </w:r>
          </w:p>
        </w:tc>
      </w:tr>
      <w:tr>
        <w:trPr>
          <w:cantSplit/>
        </w:trPr>
        <w:tc>
          <w:tcPr>
            <w:tcW w:type="dxa" w:w="792"/>
            <w:vAlign w:val="center"/>
            <w:shd w:fill="FFFFFF"/>
          </w:tcPr>
          <w:p>
            <w:pPr>
              <w:keepNext w:val="0"/>
              <w:spacing w:before="0" w:after="0" w:line="283" w:lineRule="auto"/>
              <w:jc w:val="center"/>
            </w:pPr>
            <w:r>
              <w:rPr>
                <w:sz w:val="20"/>
              </w:rPr>
              <w:t>W02</w:t>
            </w:r>
          </w:p>
        </w:tc>
        <w:tc>
          <w:tcPr>
            <w:tcW w:type="dxa" w:w="5486"/>
            <w:vAlign w:val="center"/>
            <w:shd w:fill="FFFFFF"/>
          </w:tcPr>
          <w:p>
            <w:pPr>
              <w:keepNext w:val="0"/>
              <w:spacing w:before="0" w:after="0" w:line="283" w:lineRule="auto"/>
              <w:jc w:val="left"/>
            </w:pPr>
            <w:r>
              <w:rPr>
                <w:sz w:val="20"/>
              </w:rPr>
              <w:t>專案基礎與雲端連通</w:t>
            </w:r>
          </w:p>
        </w:tc>
        <w:tc>
          <w:tcPr>
            <w:tcW w:type="dxa" w:w="1296"/>
            <w:vAlign w:val="center"/>
            <w:shd w:fill="FFFFFF"/>
          </w:tcPr>
          <w:p>
            <w:pPr>
              <w:keepNext w:val="0"/>
              <w:spacing w:before="0" w:after="0" w:line="283" w:lineRule="auto"/>
              <w:jc w:val="center"/>
            </w:pPr>
            <w:r>
              <w:rPr>
                <w:sz w:val="20"/>
              </w:rPr>
              <w:t>8</w:t>
            </w:r>
          </w:p>
        </w:tc>
        <w:tc>
          <w:tcPr>
            <w:tcW w:type="dxa" w:w="1296"/>
            <w:vAlign w:val="center"/>
            <w:shd w:fill="FFFFFF"/>
          </w:tcPr>
          <w:p>
            <w:pPr>
              <w:keepNext w:val="0"/>
              <w:spacing w:before="0" w:after="0" w:line="283" w:lineRule="auto"/>
              <w:jc w:val="center"/>
            </w:pPr>
            <w:r>
              <w:rPr>
                <w:sz w:val="20"/>
              </w:rPr>
              <w:t>2</w:t>
            </w:r>
          </w:p>
        </w:tc>
        <w:tc>
          <w:tcPr>
            <w:tcW w:type="dxa" w:w="1296"/>
            <w:vAlign w:val="center"/>
            <w:shd w:fill="FFFFFF"/>
          </w:tcPr>
          <w:p>
            <w:pPr>
              <w:keepNext w:val="0"/>
              <w:spacing w:before="0" w:after="0" w:line="283" w:lineRule="auto"/>
              <w:jc w:val="center"/>
            </w:pPr>
            <w:r>
              <w:rPr>
                <w:sz w:val="20"/>
              </w:rPr>
              <w:t>10</w:t>
            </w:r>
          </w:p>
        </w:tc>
      </w:tr>
      <w:tr>
        <w:trPr>
          <w:cantSplit/>
        </w:trPr>
        <w:tc>
          <w:tcPr>
            <w:tcW w:type="dxa" w:w="792"/>
            <w:vAlign w:val="center"/>
            <w:shd w:fill="F3F6F8"/>
          </w:tcPr>
          <w:p>
            <w:pPr>
              <w:keepNext w:val="0"/>
              <w:spacing w:before="0" w:after="0" w:line="283" w:lineRule="auto"/>
              <w:jc w:val="center"/>
            </w:pPr>
            <w:r>
              <w:rPr>
                <w:sz w:val="20"/>
              </w:rPr>
              <w:t>W03</w:t>
            </w:r>
          </w:p>
        </w:tc>
        <w:tc>
          <w:tcPr>
            <w:tcW w:type="dxa" w:w="5486"/>
            <w:vAlign w:val="center"/>
            <w:shd w:fill="F3F6F8"/>
          </w:tcPr>
          <w:p>
            <w:pPr>
              <w:keepNext w:val="0"/>
              <w:spacing w:before="0" w:after="0" w:line="283" w:lineRule="auto"/>
              <w:jc w:val="left"/>
            </w:pPr>
            <w:r>
              <w:rPr>
                <w:sz w:val="20"/>
              </w:rPr>
              <w:t>匯入與來源版本</w:t>
            </w:r>
          </w:p>
        </w:tc>
        <w:tc>
          <w:tcPr>
            <w:tcW w:type="dxa" w:w="1296"/>
            <w:vAlign w:val="center"/>
            <w:shd w:fill="F3F6F8"/>
          </w:tcPr>
          <w:p>
            <w:pPr>
              <w:keepNext w:val="0"/>
              <w:spacing w:before="0" w:after="0" w:line="283" w:lineRule="auto"/>
              <w:jc w:val="center"/>
            </w:pPr>
            <w:r>
              <w:rPr>
                <w:sz w:val="20"/>
              </w:rPr>
              <w:t>8</w:t>
            </w:r>
          </w:p>
        </w:tc>
        <w:tc>
          <w:tcPr>
            <w:tcW w:type="dxa" w:w="1296"/>
            <w:vAlign w:val="center"/>
            <w:shd w:fill="F3F6F8"/>
          </w:tcPr>
          <w:p>
            <w:pPr>
              <w:keepNext w:val="0"/>
              <w:spacing w:before="0" w:after="0" w:line="283" w:lineRule="auto"/>
              <w:jc w:val="center"/>
            </w:pPr>
            <w:r>
              <w:rPr>
                <w:sz w:val="20"/>
              </w:rPr>
              <w:t>4</w:t>
            </w:r>
          </w:p>
        </w:tc>
        <w:tc>
          <w:tcPr>
            <w:tcW w:type="dxa" w:w="1296"/>
            <w:vAlign w:val="center"/>
            <w:shd w:fill="F3F6F8"/>
          </w:tcPr>
          <w:p>
            <w:pPr>
              <w:keepNext w:val="0"/>
              <w:spacing w:before="0" w:after="0" w:line="283" w:lineRule="auto"/>
              <w:jc w:val="center"/>
            </w:pPr>
            <w:r>
              <w:rPr>
                <w:sz w:val="20"/>
              </w:rPr>
              <w:t>12</w:t>
            </w:r>
          </w:p>
        </w:tc>
      </w:tr>
      <w:tr>
        <w:trPr>
          <w:cantSplit/>
        </w:trPr>
        <w:tc>
          <w:tcPr>
            <w:tcW w:type="dxa" w:w="792"/>
            <w:vAlign w:val="center"/>
            <w:shd w:fill="FFFFFF"/>
          </w:tcPr>
          <w:p>
            <w:pPr>
              <w:keepNext w:val="0"/>
              <w:spacing w:before="0" w:after="0" w:line="283" w:lineRule="auto"/>
              <w:jc w:val="center"/>
            </w:pPr>
            <w:r>
              <w:rPr>
                <w:sz w:val="20"/>
              </w:rPr>
              <w:t>W04</w:t>
            </w:r>
          </w:p>
        </w:tc>
        <w:tc>
          <w:tcPr>
            <w:tcW w:type="dxa" w:w="5486"/>
            <w:vAlign w:val="center"/>
            <w:shd w:fill="FFFFFF"/>
          </w:tcPr>
          <w:p>
            <w:pPr>
              <w:keepNext w:val="0"/>
              <w:spacing w:before="0" w:after="0" w:line="283" w:lineRule="auto"/>
              <w:jc w:val="left"/>
            </w:pPr>
            <w:r>
              <w:rPr>
                <w:sz w:val="20"/>
              </w:rPr>
              <w:t>模型抽取與來源驗證</w:t>
            </w:r>
          </w:p>
        </w:tc>
        <w:tc>
          <w:tcPr>
            <w:tcW w:type="dxa" w:w="1296"/>
            <w:vAlign w:val="center"/>
            <w:shd w:fill="FFFFFF"/>
          </w:tcPr>
          <w:p>
            <w:pPr>
              <w:keepNext w:val="0"/>
              <w:spacing w:before="0" w:after="0" w:line="283" w:lineRule="auto"/>
              <w:jc w:val="center"/>
            </w:pPr>
            <w:r>
              <w:rPr>
                <w:sz w:val="20"/>
              </w:rPr>
              <w:t>16</w:t>
            </w:r>
          </w:p>
        </w:tc>
        <w:tc>
          <w:tcPr>
            <w:tcW w:type="dxa" w:w="1296"/>
            <w:vAlign w:val="center"/>
            <w:shd w:fill="FFFFFF"/>
          </w:tcPr>
          <w:p>
            <w:pPr>
              <w:keepNext w:val="0"/>
              <w:spacing w:before="0" w:after="0" w:line="283" w:lineRule="auto"/>
              <w:jc w:val="center"/>
            </w:pPr>
            <w:r>
              <w:rPr>
                <w:sz w:val="20"/>
              </w:rPr>
              <w:t>4</w:t>
            </w:r>
          </w:p>
        </w:tc>
        <w:tc>
          <w:tcPr>
            <w:tcW w:type="dxa" w:w="1296"/>
            <w:vAlign w:val="center"/>
            <w:shd w:fill="FFFFFF"/>
          </w:tcPr>
          <w:p>
            <w:pPr>
              <w:keepNext w:val="0"/>
              <w:spacing w:before="0" w:after="0" w:line="283" w:lineRule="auto"/>
              <w:jc w:val="center"/>
            </w:pPr>
            <w:r>
              <w:rPr>
                <w:sz w:val="20"/>
              </w:rPr>
              <w:t>20</w:t>
            </w:r>
          </w:p>
        </w:tc>
      </w:tr>
      <w:tr>
        <w:trPr>
          <w:cantSplit/>
        </w:trPr>
        <w:tc>
          <w:tcPr>
            <w:tcW w:type="dxa" w:w="792"/>
            <w:vAlign w:val="center"/>
            <w:shd w:fill="F3F6F8"/>
          </w:tcPr>
          <w:p>
            <w:pPr>
              <w:keepNext w:val="0"/>
              <w:spacing w:before="0" w:after="0" w:line="283" w:lineRule="auto"/>
              <w:jc w:val="center"/>
            </w:pPr>
            <w:r>
              <w:rPr>
                <w:sz w:val="20"/>
              </w:rPr>
              <w:t>W05</w:t>
            </w:r>
          </w:p>
        </w:tc>
        <w:tc>
          <w:tcPr>
            <w:tcW w:type="dxa" w:w="5486"/>
            <w:vAlign w:val="center"/>
            <w:shd w:fill="F3F6F8"/>
          </w:tcPr>
          <w:p>
            <w:pPr>
              <w:keepNext w:val="0"/>
              <w:spacing w:before="0" w:after="0" w:line="283" w:lineRule="auto"/>
              <w:jc w:val="left"/>
            </w:pPr>
            <w:r>
              <w:rPr>
                <w:sz w:val="20"/>
              </w:rPr>
              <w:t>專案與檢閱介面</w:t>
            </w:r>
          </w:p>
        </w:tc>
        <w:tc>
          <w:tcPr>
            <w:tcW w:type="dxa" w:w="1296"/>
            <w:vAlign w:val="center"/>
            <w:shd w:fill="F3F6F8"/>
          </w:tcPr>
          <w:p>
            <w:pPr>
              <w:keepNext w:val="0"/>
              <w:spacing w:before="0" w:after="0" w:line="283" w:lineRule="auto"/>
              <w:jc w:val="center"/>
            </w:pPr>
            <w:r>
              <w:rPr>
                <w:sz w:val="20"/>
              </w:rPr>
              <w:t>2</w:t>
            </w:r>
          </w:p>
        </w:tc>
        <w:tc>
          <w:tcPr>
            <w:tcW w:type="dxa" w:w="1296"/>
            <w:vAlign w:val="center"/>
            <w:shd w:fill="F3F6F8"/>
          </w:tcPr>
          <w:p>
            <w:pPr>
              <w:keepNext w:val="0"/>
              <w:spacing w:before="0" w:after="0" w:line="283" w:lineRule="auto"/>
              <w:jc w:val="center"/>
            </w:pPr>
            <w:r>
              <w:rPr>
                <w:sz w:val="20"/>
              </w:rPr>
              <w:t>16</w:t>
            </w:r>
          </w:p>
        </w:tc>
        <w:tc>
          <w:tcPr>
            <w:tcW w:type="dxa" w:w="1296"/>
            <w:vAlign w:val="center"/>
            <w:shd w:fill="F3F6F8"/>
          </w:tcPr>
          <w:p>
            <w:pPr>
              <w:keepNext w:val="0"/>
              <w:spacing w:before="0" w:after="0" w:line="283" w:lineRule="auto"/>
              <w:jc w:val="center"/>
            </w:pPr>
            <w:r>
              <w:rPr>
                <w:sz w:val="20"/>
              </w:rPr>
              <w:t>18</w:t>
            </w:r>
          </w:p>
        </w:tc>
      </w:tr>
      <w:tr>
        <w:trPr>
          <w:cantSplit/>
        </w:trPr>
        <w:tc>
          <w:tcPr>
            <w:tcW w:type="dxa" w:w="792"/>
            <w:vAlign w:val="center"/>
            <w:shd w:fill="FFFFFF"/>
          </w:tcPr>
          <w:p>
            <w:pPr>
              <w:keepNext w:val="0"/>
              <w:spacing w:before="0" w:after="0" w:line="283" w:lineRule="auto"/>
              <w:jc w:val="center"/>
            </w:pPr>
            <w:r>
              <w:rPr>
                <w:sz w:val="20"/>
              </w:rPr>
              <w:t>W06</w:t>
            </w:r>
          </w:p>
        </w:tc>
        <w:tc>
          <w:tcPr>
            <w:tcW w:type="dxa" w:w="5486"/>
            <w:vAlign w:val="center"/>
            <w:shd w:fill="FFFFFF"/>
          </w:tcPr>
          <w:p>
            <w:pPr>
              <w:keepNext w:val="0"/>
              <w:spacing w:before="0" w:after="0" w:line="283" w:lineRule="auto"/>
              <w:jc w:val="left"/>
            </w:pPr>
            <w:r>
              <w:rPr>
                <w:sz w:val="20"/>
              </w:rPr>
              <w:t>差異及任務影響</w:t>
            </w:r>
          </w:p>
        </w:tc>
        <w:tc>
          <w:tcPr>
            <w:tcW w:type="dxa" w:w="1296"/>
            <w:vAlign w:val="center"/>
            <w:shd w:fill="FFFFFF"/>
          </w:tcPr>
          <w:p>
            <w:pPr>
              <w:keepNext w:val="0"/>
              <w:spacing w:before="0" w:after="0" w:line="283" w:lineRule="auto"/>
              <w:jc w:val="center"/>
            </w:pPr>
            <w:r>
              <w:rPr>
                <w:sz w:val="20"/>
              </w:rPr>
              <w:t>10</w:t>
            </w:r>
          </w:p>
        </w:tc>
        <w:tc>
          <w:tcPr>
            <w:tcW w:type="dxa" w:w="1296"/>
            <w:vAlign w:val="center"/>
            <w:shd w:fill="FFFFFF"/>
          </w:tcPr>
          <w:p>
            <w:pPr>
              <w:keepNext w:val="0"/>
              <w:spacing w:before="0" w:after="0" w:line="283" w:lineRule="auto"/>
              <w:jc w:val="center"/>
            </w:pPr>
            <w:r>
              <w:rPr>
                <w:sz w:val="20"/>
              </w:rPr>
              <w:t>4</w:t>
            </w:r>
          </w:p>
        </w:tc>
        <w:tc>
          <w:tcPr>
            <w:tcW w:type="dxa" w:w="1296"/>
            <w:vAlign w:val="center"/>
            <w:shd w:fill="FFFFFF"/>
          </w:tcPr>
          <w:p>
            <w:pPr>
              <w:keepNext w:val="0"/>
              <w:spacing w:before="0" w:after="0" w:line="283" w:lineRule="auto"/>
              <w:jc w:val="center"/>
            </w:pPr>
            <w:r>
              <w:rPr>
                <w:sz w:val="20"/>
              </w:rPr>
              <w:t>14</w:t>
            </w:r>
          </w:p>
        </w:tc>
      </w:tr>
      <w:tr>
        <w:trPr>
          <w:cantSplit/>
        </w:trPr>
        <w:tc>
          <w:tcPr>
            <w:tcW w:type="dxa" w:w="792"/>
            <w:vAlign w:val="center"/>
            <w:shd w:fill="F3F6F8"/>
          </w:tcPr>
          <w:p>
            <w:pPr>
              <w:keepNext w:val="0"/>
              <w:spacing w:before="0" w:after="0" w:line="283" w:lineRule="auto"/>
              <w:jc w:val="center"/>
            </w:pPr>
            <w:r>
              <w:rPr>
                <w:sz w:val="20"/>
              </w:rPr>
              <w:t>W07</w:t>
            </w:r>
          </w:p>
        </w:tc>
        <w:tc>
          <w:tcPr>
            <w:tcW w:type="dxa" w:w="5486"/>
            <w:vAlign w:val="center"/>
            <w:shd w:fill="F3F6F8"/>
          </w:tcPr>
          <w:p>
            <w:pPr>
              <w:keepNext w:val="0"/>
              <w:spacing w:before="0" w:after="0" w:line="283" w:lineRule="auto"/>
              <w:jc w:val="left"/>
            </w:pPr>
            <w:r>
              <w:rPr>
                <w:sz w:val="20"/>
              </w:rPr>
              <w:t>確認與交易更新</w:t>
            </w:r>
          </w:p>
        </w:tc>
        <w:tc>
          <w:tcPr>
            <w:tcW w:type="dxa" w:w="1296"/>
            <w:vAlign w:val="center"/>
            <w:shd w:fill="F3F6F8"/>
          </w:tcPr>
          <w:p>
            <w:pPr>
              <w:keepNext w:val="0"/>
              <w:spacing w:before="0" w:after="0" w:line="283" w:lineRule="auto"/>
              <w:jc w:val="center"/>
            </w:pPr>
            <w:r>
              <w:rPr>
                <w:sz w:val="20"/>
              </w:rPr>
              <w:t>12</w:t>
            </w:r>
          </w:p>
        </w:tc>
        <w:tc>
          <w:tcPr>
            <w:tcW w:type="dxa" w:w="1296"/>
            <w:vAlign w:val="center"/>
            <w:shd w:fill="F3F6F8"/>
          </w:tcPr>
          <w:p>
            <w:pPr>
              <w:keepNext w:val="0"/>
              <w:spacing w:before="0" w:after="0" w:line="283" w:lineRule="auto"/>
              <w:jc w:val="center"/>
            </w:pPr>
            <w:r>
              <w:rPr>
                <w:sz w:val="20"/>
              </w:rPr>
              <w:t>4</w:t>
            </w:r>
          </w:p>
        </w:tc>
        <w:tc>
          <w:tcPr>
            <w:tcW w:type="dxa" w:w="1296"/>
            <w:vAlign w:val="center"/>
            <w:shd w:fill="F3F6F8"/>
          </w:tcPr>
          <w:p>
            <w:pPr>
              <w:keepNext w:val="0"/>
              <w:spacing w:before="0" w:after="0" w:line="283" w:lineRule="auto"/>
              <w:jc w:val="center"/>
            </w:pPr>
            <w:r>
              <w:rPr>
                <w:sz w:val="20"/>
              </w:rPr>
              <w:t>16</w:t>
            </w:r>
          </w:p>
        </w:tc>
      </w:tr>
      <w:tr>
        <w:trPr>
          <w:cantSplit/>
        </w:trPr>
        <w:tc>
          <w:tcPr>
            <w:tcW w:type="dxa" w:w="792"/>
            <w:vAlign w:val="center"/>
            <w:shd w:fill="FFFFFF"/>
          </w:tcPr>
          <w:p>
            <w:pPr>
              <w:keepNext w:val="0"/>
              <w:spacing w:before="0" w:after="0" w:line="283" w:lineRule="auto"/>
              <w:jc w:val="center"/>
            </w:pPr>
            <w:r>
              <w:rPr>
                <w:sz w:val="20"/>
              </w:rPr>
              <w:t>W08</w:t>
            </w:r>
          </w:p>
        </w:tc>
        <w:tc>
          <w:tcPr>
            <w:tcW w:type="dxa" w:w="5486"/>
            <w:vAlign w:val="center"/>
            <w:shd w:fill="FFFFFF"/>
          </w:tcPr>
          <w:p>
            <w:pPr>
              <w:keepNext w:val="0"/>
              <w:spacing w:before="0" w:after="0" w:line="283" w:lineRule="auto"/>
              <w:jc w:val="left"/>
            </w:pPr>
            <w:r>
              <w:rPr>
                <w:sz w:val="20"/>
              </w:rPr>
              <w:t>身分及用量限制</w:t>
            </w:r>
          </w:p>
        </w:tc>
        <w:tc>
          <w:tcPr>
            <w:tcW w:type="dxa" w:w="1296"/>
            <w:vAlign w:val="center"/>
            <w:shd w:fill="FFFFFF"/>
          </w:tcPr>
          <w:p>
            <w:pPr>
              <w:keepNext w:val="0"/>
              <w:spacing w:before="0" w:after="0" w:line="283" w:lineRule="auto"/>
              <w:jc w:val="center"/>
            </w:pPr>
            <w:r>
              <w:rPr>
                <w:sz w:val="20"/>
              </w:rPr>
              <w:t>6</w:t>
            </w:r>
          </w:p>
        </w:tc>
        <w:tc>
          <w:tcPr>
            <w:tcW w:type="dxa" w:w="1296"/>
            <w:vAlign w:val="center"/>
            <w:shd w:fill="FFFFFF"/>
          </w:tcPr>
          <w:p>
            <w:pPr>
              <w:keepNext w:val="0"/>
              <w:spacing w:before="0" w:after="0" w:line="283" w:lineRule="auto"/>
              <w:jc w:val="center"/>
            </w:pPr>
            <w:r>
              <w:rPr>
                <w:sz w:val="20"/>
              </w:rPr>
              <w:t>2</w:t>
            </w:r>
          </w:p>
        </w:tc>
        <w:tc>
          <w:tcPr>
            <w:tcW w:type="dxa" w:w="1296"/>
            <w:vAlign w:val="center"/>
            <w:shd w:fill="FFFFFF"/>
          </w:tcPr>
          <w:p>
            <w:pPr>
              <w:keepNext w:val="0"/>
              <w:spacing w:before="0" w:after="0" w:line="283" w:lineRule="auto"/>
              <w:jc w:val="center"/>
            </w:pPr>
            <w:r>
              <w:rPr>
                <w:sz w:val="20"/>
              </w:rPr>
              <w:t>8</w:t>
            </w:r>
          </w:p>
        </w:tc>
      </w:tr>
      <w:tr>
        <w:trPr>
          <w:cantSplit/>
        </w:trPr>
        <w:tc>
          <w:tcPr>
            <w:tcW w:type="dxa" w:w="792"/>
            <w:vAlign w:val="center"/>
            <w:shd w:fill="F3F6F8"/>
          </w:tcPr>
          <w:p>
            <w:pPr>
              <w:keepNext w:val="0"/>
              <w:spacing w:before="0" w:after="0" w:line="283" w:lineRule="auto"/>
              <w:jc w:val="center"/>
            </w:pPr>
            <w:r>
              <w:rPr>
                <w:sz w:val="20"/>
              </w:rPr>
              <w:t>W09</w:t>
            </w:r>
          </w:p>
        </w:tc>
        <w:tc>
          <w:tcPr>
            <w:tcW w:type="dxa" w:w="5486"/>
            <w:vAlign w:val="center"/>
            <w:shd w:fill="F3F6F8"/>
          </w:tcPr>
          <w:p>
            <w:pPr>
              <w:keepNext w:val="0"/>
              <w:spacing w:before="0" w:after="0" w:line="283" w:lineRule="auto"/>
              <w:jc w:val="left"/>
            </w:pPr>
            <w:r>
              <w:rPr>
                <w:sz w:val="20"/>
              </w:rPr>
              <w:t>比較評估與試用</w:t>
            </w:r>
          </w:p>
        </w:tc>
        <w:tc>
          <w:tcPr>
            <w:tcW w:type="dxa" w:w="1296"/>
            <w:vAlign w:val="center"/>
            <w:shd w:fill="F3F6F8"/>
          </w:tcPr>
          <w:p>
            <w:pPr>
              <w:keepNext w:val="0"/>
              <w:spacing w:before="0" w:after="0" w:line="283" w:lineRule="auto"/>
              <w:jc w:val="center"/>
            </w:pPr>
            <w:r>
              <w:rPr>
                <w:sz w:val="20"/>
              </w:rPr>
              <w:t>6</w:t>
            </w:r>
          </w:p>
        </w:tc>
        <w:tc>
          <w:tcPr>
            <w:tcW w:type="dxa" w:w="1296"/>
            <w:vAlign w:val="center"/>
            <w:shd w:fill="F3F6F8"/>
          </w:tcPr>
          <w:p>
            <w:pPr>
              <w:keepNext w:val="0"/>
              <w:spacing w:before="0" w:after="0" w:line="283" w:lineRule="auto"/>
              <w:jc w:val="center"/>
            </w:pPr>
            <w:r>
              <w:rPr>
                <w:sz w:val="20"/>
              </w:rPr>
              <w:t>10</w:t>
            </w:r>
          </w:p>
        </w:tc>
        <w:tc>
          <w:tcPr>
            <w:tcW w:type="dxa" w:w="1296"/>
            <w:vAlign w:val="center"/>
            <w:shd w:fill="F3F6F8"/>
          </w:tcPr>
          <w:p>
            <w:pPr>
              <w:keepNext w:val="0"/>
              <w:spacing w:before="0" w:after="0" w:line="283" w:lineRule="auto"/>
              <w:jc w:val="center"/>
            </w:pPr>
            <w:r>
              <w:rPr>
                <w:sz w:val="20"/>
              </w:rPr>
              <w:t>16</w:t>
            </w:r>
          </w:p>
        </w:tc>
      </w:tr>
      <w:tr>
        <w:trPr>
          <w:cantSplit/>
        </w:trPr>
        <w:tc>
          <w:tcPr>
            <w:tcW w:type="dxa" w:w="792"/>
            <w:vAlign w:val="center"/>
            <w:shd w:fill="FFFFFF"/>
          </w:tcPr>
          <w:p>
            <w:pPr>
              <w:keepNext w:val="0"/>
              <w:spacing w:before="0" w:after="0" w:line="283" w:lineRule="auto"/>
              <w:jc w:val="center"/>
            </w:pPr>
            <w:r>
              <w:rPr>
                <w:sz w:val="20"/>
              </w:rPr>
              <w:t>W10</w:t>
            </w:r>
          </w:p>
        </w:tc>
        <w:tc>
          <w:tcPr>
            <w:tcW w:type="dxa" w:w="5486"/>
            <w:vAlign w:val="center"/>
            <w:shd w:fill="FFFFFF"/>
          </w:tcPr>
          <w:p>
            <w:pPr>
              <w:keepNext w:val="0"/>
              <w:spacing w:before="0" w:after="0" w:line="283" w:lineRule="auto"/>
              <w:jc w:val="left"/>
            </w:pPr>
            <w:r>
              <w:rPr>
                <w:sz w:val="20"/>
              </w:rPr>
              <w:t>修正與交件環境驗收</w:t>
            </w:r>
          </w:p>
        </w:tc>
        <w:tc>
          <w:tcPr>
            <w:tcW w:type="dxa" w:w="1296"/>
            <w:vAlign w:val="center"/>
            <w:shd w:fill="FFFFFF"/>
          </w:tcPr>
          <w:p>
            <w:pPr>
              <w:keepNext w:val="0"/>
              <w:spacing w:before="0" w:after="0" w:line="283" w:lineRule="auto"/>
              <w:jc w:val="center"/>
            </w:pPr>
            <w:r>
              <w:rPr>
                <w:sz w:val="20"/>
              </w:rPr>
              <w:t>6</w:t>
            </w:r>
          </w:p>
        </w:tc>
        <w:tc>
          <w:tcPr>
            <w:tcW w:type="dxa" w:w="1296"/>
            <w:vAlign w:val="center"/>
            <w:shd w:fill="FFFFFF"/>
          </w:tcPr>
          <w:p>
            <w:pPr>
              <w:keepNext w:val="0"/>
              <w:spacing w:before="0" w:after="0" w:line="283" w:lineRule="auto"/>
              <w:jc w:val="center"/>
            </w:pPr>
            <w:r>
              <w:rPr>
                <w:sz w:val="20"/>
              </w:rPr>
              <w:t>4</w:t>
            </w:r>
          </w:p>
        </w:tc>
        <w:tc>
          <w:tcPr>
            <w:tcW w:type="dxa" w:w="1296"/>
            <w:vAlign w:val="center"/>
            <w:shd w:fill="FFFFFF"/>
          </w:tcPr>
          <w:p>
            <w:pPr>
              <w:keepNext w:val="0"/>
              <w:spacing w:before="0" w:after="0" w:line="283" w:lineRule="auto"/>
              <w:jc w:val="center"/>
            </w:pPr>
            <w:r>
              <w:rPr>
                <w:sz w:val="20"/>
              </w:rPr>
              <w:t>10</w:t>
            </w:r>
          </w:p>
        </w:tc>
      </w:tr>
      <w:tr>
        <w:trPr>
          <w:cantSplit/>
        </w:trPr>
        <w:tc>
          <w:tcPr>
            <w:tcW w:type="dxa" w:w="792"/>
            <w:vAlign w:val="center"/>
            <w:shd w:fill="F3F6F8"/>
          </w:tcPr>
          <w:p>
            <w:pPr>
              <w:keepNext w:val="0"/>
              <w:spacing w:before="0" w:after="0" w:line="283" w:lineRule="auto"/>
              <w:jc w:val="center"/>
            </w:pPr>
            <w:r>
              <w:rPr>
                <w:sz w:val="20"/>
              </w:rPr>
              <w:t>W11</w:t>
            </w:r>
          </w:p>
        </w:tc>
        <w:tc>
          <w:tcPr>
            <w:tcW w:type="dxa" w:w="5486"/>
            <w:vAlign w:val="center"/>
            <w:shd w:fill="F3F6F8"/>
          </w:tcPr>
          <w:p>
            <w:pPr>
              <w:keepNext w:val="0"/>
              <w:spacing w:before="0" w:after="0" w:line="283" w:lineRule="auto"/>
              <w:jc w:val="left"/>
            </w:pPr>
            <w:r>
              <w:rPr>
                <w:sz w:val="20"/>
              </w:rPr>
              <w:t>英文文件與展示材料</w:t>
            </w:r>
          </w:p>
        </w:tc>
        <w:tc>
          <w:tcPr>
            <w:tcW w:type="dxa" w:w="1296"/>
            <w:vAlign w:val="center"/>
            <w:shd w:fill="F3F6F8"/>
          </w:tcPr>
          <w:p>
            <w:pPr>
              <w:keepNext w:val="0"/>
              <w:spacing w:before="0" w:after="0" w:line="283" w:lineRule="auto"/>
              <w:jc w:val="center"/>
            </w:pPr>
            <w:r>
              <w:rPr>
                <w:sz w:val="20"/>
              </w:rPr>
              <w:t>4</w:t>
            </w:r>
          </w:p>
        </w:tc>
        <w:tc>
          <w:tcPr>
            <w:tcW w:type="dxa" w:w="1296"/>
            <w:vAlign w:val="center"/>
            <w:shd w:fill="F3F6F8"/>
          </w:tcPr>
          <w:p>
            <w:pPr>
              <w:keepNext w:val="0"/>
              <w:spacing w:before="0" w:after="0" w:line="283" w:lineRule="auto"/>
              <w:jc w:val="center"/>
            </w:pPr>
            <w:r>
              <w:rPr>
                <w:sz w:val="20"/>
              </w:rPr>
              <w:t>10</w:t>
            </w:r>
          </w:p>
        </w:tc>
        <w:tc>
          <w:tcPr>
            <w:tcW w:type="dxa" w:w="1296"/>
            <w:vAlign w:val="center"/>
            <w:shd w:fill="F3F6F8"/>
          </w:tcPr>
          <w:p>
            <w:pPr>
              <w:keepNext w:val="0"/>
              <w:spacing w:before="0" w:after="0" w:line="283" w:lineRule="auto"/>
              <w:jc w:val="center"/>
            </w:pPr>
            <w:r>
              <w:rPr>
                <w:sz w:val="20"/>
              </w:rPr>
              <w:t>14</w:t>
            </w:r>
          </w:p>
        </w:tc>
      </w:tr>
      <w:tr>
        <w:trPr>
          <w:cantSplit/>
        </w:trPr>
        <w:tc>
          <w:tcPr>
            <w:tcW w:type="dxa" w:w="792"/>
            <w:vAlign w:val="center"/>
            <w:shd w:fill="FFFFFF"/>
          </w:tcPr>
          <w:p>
            <w:pPr>
              <w:keepNext w:val="0"/>
              <w:spacing w:before="0" w:after="0" w:line="283" w:lineRule="auto"/>
              <w:jc w:val="center"/>
            </w:pPr>
            <w:r>
              <w:rPr>
                <w:sz w:val="20"/>
              </w:rPr>
              <w:t>W12</w:t>
            </w:r>
          </w:p>
        </w:tc>
        <w:tc>
          <w:tcPr>
            <w:tcW w:type="dxa" w:w="5486"/>
            <w:vAlign w:val="center"/>
            <w:shd w:fill="FFFFFF"/>
          </w:tcPr>
          <w:p>
            <w:pPr>
              <w:keepNext w:val="0"/>
              <w:spacing w:before="0" w:after="0" w:line="283" w:lineRule="auto"/>
              <w:jc w:val="left"/>
            </w:pPr>
            <w:r>
              <w:rPr>
                <w:sz w:val="20"/>
              </w:rPr>
              <w:t>問題處理緩衝</w:t>
            </w:r>
          </w:p>
        </w:tc>
        <w:tc>
          <w:tcPr>
            <w:tcW w:type="dxa" w:w="1296"/>
            <w:vAlign w:val="center"/>
            <w:shd w:fill="FFFFFF"/>
          </w:tcPr>
          <w:p>
            <w:pPr>
              <w:keepNext w:val="0"/>
              <w:spacing w:before="0" w:after="0" w:line="283" w:lineRule="auto"/>
              <w:jc w:val="center"/>
            </w:pPr>
            <w:r>
              <w:rPr>
                <w:sz w:val="20"/>
              </w:rPr>
              <w:t>6</w:t>
            </w:r>
          </w:p>
        </w:tc>
        <w:tc>
          <w:tcPr>
            <w:tcW w:type="dxa" w:w="1296"/>
            <w:vAlign w:val="center"/>
            <w:shd w:fill="FFFFFF"/>
          </w:tcPr>
          <w:p>
            <w:pPr>
              <w:keepNext w:val="0"/>
              <w:spacing w:before="0" w:after="0" w:line="283" w:lineRule="auto"/>
              <w:jc w:val="center"/>
            </w:pPr>
            <w:r>
              <w:rPr>
                <w:sz w:val="20"/>
              </w:rPr>
              <w:t>6</w:t>
            </w:r>
          </w:p>
        </w:tc>
        <w:tc>
          <w:tcPr>
            <w:tcW w:type="dxa" w:w="1296"/>
            <w:vAlign w:val="center"/>
            <w:shd w:fill="FFFFFF"/>
          </w:tcPr>
          <w:p>
            <w:pPr>
              <w:keepNext w:val="0"/>
              <w:spacing w:before="0" w:after="0" w:line="283" w:lineRule="auto"/>
              <w:jc w:val="center"/>
            </w:pPr>
            <w:r>
              <w:rPr>
                <w:sz w:val="20"/>
              </w:rPr>
              <w:t>12</w:t>
            </w:r>
          </w:p>
        </w:tc>
      </w:tr>
      <w:tr>
        <w:trPr>
          <w:cantSplit/>
        </w:trPr>
        <w:tc>
          <w:tcPr>
            <w:tcW w:type="dxa" w:w="792"/>
            <w:vAlign w:val="center"/>
            <w:shd w:fill="F3F6F8"/>
          </w:tcPr>
          <w:p>
            <w:pPr>
              <w:keepNext w:val="0"/>
              <w:spacing w:before="0" w:after="0" w:line="283" w:lineRule="auto"/>
              <w:jc w:val="center"/>
            </w:pPr>
            <w:r>
              <w:rPr>
                <w:sz w:val="20"/>
              </w:rPr>
              <w:t>合計</w:t>
            </w:r>
          </w:p>
        </w:tc>
        <w:tc>
          <w:tcPr>
            <w:tcW w:type="dxa" w:w="5486"/>
            <w:vAlign w:val="center"/>
            <w:shd w:fill="F3F6F8"/>
          </w:tcPr>
          <w:p>
            <w:pPr>
              <w:keepNext w:val="0"/>
              <w:spacing w:before="0" w:after="0" w:line="283" w:lineRule="auto"/>
              <w:jc w:val="left"/>
            </w:pPr>
            <w:r>
              <w:rPr>
                <w:sz w:val="20"/>
              </w:rPr>
              <w:t>三週全部工作</w:t>
            </w:r>
          </w:p>
        </w:tc>
        <w:tc>
          <w:tcPr>
            <w:tcW w:type="dxa" w:w="1296"/>
            <w:vAlign w:val="center"/>
            <w:shd w:fill="F3F6F8"/>
          </w:tcPr>
          <w:p>
            <w:pPr>
              <w:keepNext w:val="0"/>
              <w:spacing w:before="0" w:after="0" w:line="283" w:lineRule="auto"/>
              <w:jc w:val="center"/>
            </w:pPr>
            <w:r>
              <w:rPr>
                <w:sz w:val="20"/>
              </w:rPr>
              <w:t>86</w:t>
            </w:r>
          </w:p>
        </w:tc>
        <w:tc>
          <w:tcPr>
            <w:tcW w:type="dxa" w:w="1296"/>
            <w:vAlign w:val="center"/>
            <w:shd w:fill="F3F6F8"/>
          </w:tcPr>
          <w:p>
            <w:pPr>
              <w:keepNext w:val="0"/>
              <w:spacing w:before="0" w:after="0" w:line="283" w:lineRule="auto"/>
              <w:jc w:val="center"/>
            </w:pPr>
            <w:r>
              <w:rPr>
                <w:sz w:val="20"/>
              </w:rPr>
              <w:t>74</w:t>
            </w:r>
          </w:p>
        </w:tc>
        <w:tc>
          <w:tcPr>
            <w:tcW w:type="dxa" w:w="1296"/>
            <w:vAlign w:val="center"/>
            <w:shd w:fill="F3F6F8"/>
          </w:tcPr>
          <w:p>
            <w:pPr>
              <w:keepNext w:val="0"/>
              <w:spacing w:before="0" w:after="0" w:line="283" w:lineRule="auto"/>
              <w:jc w:val="center"/>
            </w:pPr>
            <w:r>
              <w:rPr>
                <w:sz w:val="20"/>
              </w:rPr>
              <w:t>160</w:t>
            </w:r>
          </w:p>
        </w:tc>
      </w:tr>
    </w:tbl>
    <w:p>
      <w:pPr>
        <w:spacing w:after="60" w:before="0" w:line="240" w:lineRule="auto"/>
      </w:pPr>
      <w:r>
        <w:rPr>
          <w:sz w:val="6"/>
        </w:rPr>
      </w:r>
    </w:p>
    <w:p>
      <w:r>
        <w:t>A 主要負責模型、後端、資料契約、雲端、交易與技術驗證；B 主要負責使用者研究、案例、UI、試用、敘事與展示。核准流程、重要測試答案及最終材料由另一位交叉檢查。</w:t>
      </w:r>
    </w:p>
    <w:p>
      <w:r>
        <w:t>每天保留約 15 分鐘確認前一日完成項目、當日成果與阻塞。以可操作成果判斷進度，例如來源能回查、任務重載後一致，而非只計算完成檔案數。新功能須說明替換哪一個既定工作，或使用多少緩衝容量。</w:t>
      </w:r>
    </w:p>
    <w:p>
      <w:r>
        <w:t>目前專案位於 develop，尚無 commit。開發期間建議以小批次提交保留來源歷史，將提示詞與案例版本納入追蹤。公開交件前，以明確 allowlist 檢查程式、英文文件、授權及展示資料，確保未混入私有資料或中文內部規劃。</w:t>
      </w:r>
    </w:p>
    <w:p>
      <w:pPr>
        <w:pStyle w:val="Heading1"/>
      </w:pPr>
      <w:r>
        <w:t>10 三週逐日排程</w:t>
      </w:r>
    </w:p>
    <w:p>
      <w:r>
        <w:t>以下為工作目標日期，以台北時間規劃。官網的正式截止時間仍以主辦方確認為準。遇到模型或雲端阻塞時，當日先保留可重現證據，並切換到不受阻的案例、UI 或文件工作。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936"/>
        <w:gridCol w:w="3110"/>
        <w:gridCol w:w="3038"/>
        <w:gridCol w:w="3082"/>
      </w:tblGrid>
      <w:tr>
        <w:trPr>
          <w:cantSplit/>
          <w:tblHeader/>
        </w:trPr>
        <w:tc>
          <w:tcPr>
            <w:tcW w:type="dxa" w:w="936"/>
            <w:vAlign w:val="center"/>
            <w:shd w:fill="173B55"/>
          </w:tcPr>
          <w:p>
            <w:pPr>
              <w:keepNext/>
              <w:spacing w:before="0" w:after="0" w:line="283" w:lineRule="auto"/>
              <w:jc w:val="center"/>
            </w:pPr>
            <w:r>
              <w:rPr>
                <w:b/>
                <w:color w:val="FFFFFF"/>
                <w:sz w:val="20"/>
              </w:rPr>
              <w:t>日期</w:t>
            </w:r>
          </w:p>
        </w:tc>
        <w:tc>
          <w:tcPr>
            <w:tcW w:type="dxa" w:w="3110"/>
            <w:vAlign w:val="center"/>
            <w:shd w:fill="173B55"/>
          </w:tcPr>
          <w:p>
            <w:pPr>
              <w:keepNext/>
              <w:spacing w:before="0" w:after="0" w:line="283" w:lineRule="auto"/>
              <w:jc w:val="left"/>
            </w:pPr>
            <w:r>
              <w:rPr>
                <w:b/>
                <w:color w:val="FFFFFF"/>
                <w:sz w:val="20"/>
              </w:rPr>
              <w:t>A 的主要成果</w:t>
            </w:r>
          </w:p>
        </w:tc>
        <w:tc>
          <w:tcPr>
            <w:tcW w:type="dxa" w:w="3038"/>
            <w:vAlign w:val="center"/>
            <w:shd w:fill="173B55"/>
          </w:tcPr>
          <w:p>
            <w:pPr>
              <w:keepNext/>
              <w:spacing w:before="0" w:after="0" w:line="283" w:lineRule="auto"/>
              <w:jc w:val="left"/>
            </w:pPr>
            <w:r>
              <w:rPr>
                <w:b/>
                <w:color w:val="FFFFFF"/>
                <w:sz w:val="20"/>
              </w:rPr>
              <w:t>B 的主要成果</w:t>
            </w:r>
          </w:p>
        </w:tc>
        <w:tc>
          <w:tcPr>
            <w:tcW w:type="dxa" w:w="3082"/>
            <w:vAlign w:val="center"/>
            <w:shd w:fill="173B55"/>
          </w:tcPr>
          <w:p>
            <w:pPr>
              <w:keepNext/>
              <w:spacing w:before="0" w:after="0" w:line="283" w:lineRule="auto"/>
              <w:jc w:val="left"/>
            </w:pPr>
            <w:r>
              <w:rPr>
                <w:b/>
                <w:color w:val="FFFFFF"/>
                <w:sz w:val="20"/>
              </w:rPr>
              <w:t>當日可檢查的產物</w:t>
            </w:r>
          </w:p>
        </w:tc>
      </w:tr>
      <w:tr>
        <w:trPr>
          <w:cantSplit/>
        </w:trPr>
        <w:tc>
          <w:tcPr>
            <w:tcW w:type="dxa" w:w="936"/>
            <w:vAlign w:val="center"/>
            <w:shd w:fill="F3F6F8"/>
          </w:tcPr>
          <w:p>
            <w:pPr>
              <w:keepNext w:val="0"/>
              <w:spacing w:before="0" w:after="0" w:line="283" w:lineRule="auto"/>
              <w:jc w:val="center"/>
            </w:pPr>
            <w:r>
              <w:rPr>
                <w:sz w:val="20"/>
              </w:rPr>
              <w:t>9/9</w:t>
            </w:r>
          </w:p>
        </w:tc>
        <w:tc>
          <w:tcPr>
            <w:tcW w:type="dxa" w:w="3110"/>
            <w:vAlign w:val="center"/>
            <w:shd w:fill="F3F6F8"/>
          </w:tcPr>
          <w:p>
            <w:pPr>
              <w:keepNext w:val="0"/>
              <w:spacing w:before="0" w:after="0" w:line="283" w:lineRule="auto"/>
              <w:jc w:val="left"/>
            </w:pPr>
            <w:r>
              <w:rPr>
                <w:sz w:val="20"/>
              </w:rPr>
              <w:t>確認資料契約與模型帳號</w:t>
            </w:r>
          </w:p>
        </w:tc>
        <w:tc>
          <w:tcPr>
            <w:tcW w:type="dxa" w:w="3038"/>
            <w:vAlign w:val="center"/>
            <w:shd w:fill="F3F6F8"/>
          </w:tcPr>
          <w:p>
            <w:pPr>
              <w:keepNext w:val="0"/>
              <w:spacing w:before="0" w:after="0" w:line="283" w:lineRule="auto"/>
              <w:jc w:val="left"/>
            </w:pPr>
            <w:r>
              <w:rPr>
                <w:sz w:val="20"/>
              </w:rPr>
              <w:t>團隊分工、訪談安排、規則問題</w:t>
            </w:r>
          </w:p>
        </w:tc>
        <w:tc>
          <w:tcPr>
            <w:tcW w:type="dxa" w:w="3082"/>
            <w:vAlign w:val="center"/>
            <w:shd w:fill="F3F6F8"/>
          </w:tcPr>
          <w:p>
            <w:pPr>
              <w:keepNext w:val="0"/>
              <w:spacing w:before="0" w:after="0" w:line="283" w:lineRule="auto"/>
              <w:jc w:val="left"/>
            </w:pPr>
            <w:r>
              <w:rPr>
                <w:sz w:val="20"/>
              </w:rPr>
              <w:t>一頁範圍與問題清單</w:t>
            </w:r>
          </w:p>
        </w:tc>
      </w:tr>
      <w:tr>
        <w:trPr>
          <w:cantSplit/>
        </w:trPr>
        <w:tc>
          <w:tcPr>
            <w:tcW w:type="dxa" w:w="936"/>
            <w:vAlign w:val="center"/>
            <w:shd w:fill="FFFFFF"/>
          </w:tcPr>
          <w:p>
            <w:pPr>
              <w:keepNext w:val="0"/>
              <w:spacing w:before="0" w:after="0" w:line="283" w:lineRule="auto"/>
              <w:jc w:val="center"/>
            </w:pPr>
            <w:r>
              <w:rPr>
                <w:sz w:val="20"/>
              </w:rPr>
              <w:t>9/10</w:t>
            </w:r>
          </w:p>
        </w:tc>
        <w:tc>
          <w:tcPr>
            <w:tcW w:type="dxa" w:w="3110"/>
            <w:vAlign w:val="center"/>
            <w:shd w:fill="FFFFFF"/>
          </w:tcPr>
          <w:p>
            <w:pPr>
              <w:keepNext w:val="0"/>
              <w:spacing w:before="0" w:after="0" w:line="283" w:lineRule="auto"/>
              <w:jc w:val="left"/>
            </w:pPr>
            <w:r>
              <w:rPr>
                <w:sz w:val="20"/>
              </w:rPr>
              <w:t>Cloud Run 最小服務與 Gemini 呼叫</w:t>
            </w:r>
          </w:p>
        </w:tc>
        <w:tc>
          <w:tcPr>
            <w:tcW w:type="dxa" w:w="3038"/>
            <w:vAlign w:val="center"/>
            <w:shd w:fill="FFFFFF"/>
          </w:tcPr>
          <w:p>
            <w:pPr>
              <w:keepNext w:val="0"/>
              <w:spacing w:before="0" w:after="0" w:line="283" w:lineRule="auto"/>
              <w:jc w:val="left"/>
            </w:pPr>
            <w:r>
              <w:rPr>
                <w:sz w:val="20"/>
              </w:rPr>
              <w:t>工作台草圖與展示故事</w:t>
            </w:r>
          </w:p>
        </w:tc>
        <w:tc>
          <w:tcPr>
            <w:tcW w:type="dxa" w:w="3082"/>
            <w:vAlign w:val="center"/>
            <w:shd w:fill="FFFFFF"/>
          </w:tcPr>
          <w:p>
            <w:pPr>
              <w:keepNext w:val="0"/>
              <w:spacing w:before="0" w:after="0" w:line="283" w:lineRule="auto"/>
              <w:jc w:val="left"/>
            </w:pPr>
            <w:r>
              <w:rPr>
                <w:sz w:val="20"/>
              </w:rPr>
              <w:t>雲端連通結果</w:t>
            </w:r>
          </w:p>
        </w:tc>
      </w:tr>
      <w:tr>
        <w:trPr>
          <w:cantSplit/>
        </w:trPr>
        <w:tc>
          <w:tcPr>
            <w:tcW w:type="dxa" w:w="936"/>
            <w:vAlign w:val="center"/>
            <w:shd w:fill="F3F6F8"/>
          </w:tcPr>
          <w:p>
            <w:pPr>
              <w:keepNext w:val="0"/>
              <w:spacing w:before="0" w:after="0" w:line="283" w:lineRule="auto"/>
              <w:jc w:val="center"/>
            </w:pPr>
            <w:r>
              <w:rPr>
                <w:sz w:val="20"/>
              </w:rPr>
              <w:t>9/11</w:t>
            </w:r>
          </w:p>
        </w:tc>
        <w:tc>
          <w:tcPr>
            <w:tcW w:type="dxa" w:w="3110"/>
            <w:vAlign w:val="center"/>
            <w:shd w:fill="F3F6F8"/>
          </w:tcPr>
          <w:p>
            <w:pPr>
              <w:keepNext w:val="0"/>
              <w:spacing w:before="0" w:after="0" w:line="283" w:lineRule="auto"/>
              <w:jc w:val="left"/>
            </w:pPr>
            <w:r>
              <w:rPr>
                <w:sz w:val="20"/>
              </w:rPr>
              <w:t>資料匯入骨架</w:t>
            </w:r>
          </w:p>
        </w:tc>
        <w:tc>
          <w:tcPr>
            <w:tcW w:type="dxa" w:w="3038"/>
            <w:vAlign w:val="center"/>
            <w:shd w:fill="F3F6F8"/>
          </w:tcPr>
          <w:p>
            <w:pPr>
              <w:keepNext w:val="0"/>
              <w:spacing w:before="0" w:after="0" w:line="283" w:lineRule="auto"/>
              <w:jc w:val="left"/>
            </w:pPr>
            <w:r>
              <w:rPr>
                <w:sz w:val="20"/>
              </w:rPr>
              <w:t>完成首輪訪談與三個案例</w:t>
            </w:r>
          </w:p>
        </w:tc>
        <w:tc>
          <w:tcPr>
            <w:tcW w:type="dxa" w:w="3082"/>
            <w:vAlign w:val="center"/>
            <w:shd w:fill="F3F6F8"/>
          </w:tcPr>
          <w:p>
            <w:pPr>
              <w:keepNext w:val="0"/>
              <w:spacing w:before="0" w:after="0" w:line="283" w:lineRule="auto"/>
              <w:jc w:val="left"/>
            </w:pPr>
            <w:r>
              <w:rPr>
                <w:sz w:val="20"/>
              </w:rPr>
              <w:t>案例與人工流程紀錄</w:t>
            </w:r>
          </w:p>
        </w:tc>
      </w:tr>
      <w:tr>
        <w:trPr>
          <w:cantSplit/>
        </w:trPr>
        <w:tc>
          <w:tcPr>
            <w:tcW w:type="dxa" w:w="936"/>
            <w:vAlign w:val="center"/>
            <w:shd w:fill="FFFFFF"/>
          </w:tcPr>
          <w:p>
            <w:pPr>
              <w:keepNext w:val="0"/>
              <w:spacing w:before="0" w:after="0" w:line="283" w:lineRule="auto"/>
              <w:jc w:val="center"/>
            </w:pPr>
            <w:r>
              <w:rPr>
                <w:sz w:val="20"/>
              </w:rPr>
              <w:t>9/12</w:t>
            </w:r>
          </w:p>
        </w:tc>
        <w:tc>
          <w:tcPr>
            <w:tcW w:type="dxa" w:w="3110"/>
            <w:vAlign w:val="center"/>
            <w:shd w:fill="FFFFFF"/>
          </w:tcPr>
          <w:p>
            <w:pPr>
              <w:keepNext w:val="0"/>
              <w:spacing w:before="0" w:after="0" w:line="283" w:lineRule="auto"/>
              <w:jc w:val="left"/>
            </w:pPr>
            <w:r>
              <w:rPr>
                <w:sz w:val="20"/>
              </w:rPr>
              <w:t>文件片段與來源版本</w:t>
            </w:r>
          </w:p>
        </w:tc>
        <w:tc>
          <w:tcPr>
            <w:tcW w:type="dxa" w:w="3038"/>
            <w:vAlign w:val="center"/>
            <w:shd w:fill="FFFFFF"/>
          </w:tcPr>
          <w:p>
            <w:pPr>
              <w:keepNext w:val="0"/>
              <w:spacing w:before="0" w:after="0" w:line="283" w:lineRule="auto"/>
              <w:jc w:val="left"/>
            </w:pPr>
            <w:r>
              <w:rPr>
                <w:sz w:val="20"/>
              </w:rPr>
              <w:t>資料頁、來源檢閱介面</w:t>
            </w:r>
          </w:p>
        </w:tc>
        <w:tc>
          <w:tcPr>
            <w:tcW w:type="dxa" w:w="3082"/>
            <w:vAlign w:val="center"/>
            <w:shd w:fill="FFFFFF"/>
          </w:tcPr>
          <w:p>
            <w:pPr>
              <w:keepNext w:val="0"/>
              <w:spacing w:before="0" w:after="0" w:line="283" w:lineRule="auto"/>
              <w:jc w:val="left"/>
            </w:pPr>
            <w:r>
              <w:rPr>
                <w:sz w:val="20"/>
              </w:rPr>
              <w:t>一案資料可回查</w:t>
            </w:r>
          </w:p>
        </w:tc>
      </w:tr>
      <w:tr>
        <w:trPr>
          <w:cantSplit/>
        </w:trPr>
        <w:tc>
          <w:tcPr>
            <w:tcW w:type="dxa" w:w="936"/>
            <w:vAlign w:val="center"/>
            <w:shd w:fill="F3F6F8"/>
          </w:tcPr>
          <w:p>
            <w:pPr>
              <w:keepNext w:val="0"/>
              <w:spacing w:before="0" w:after="0" w:line="283" w:lineRule="auto"/>
              <w:jc w:val="center"/>
            </w:pPr>
            <w:r>
              <w:rPr>
                <w:sz w:val="20"/>
              </w:rPr>
              <w:t>9/13</w:t>
            </w:r>
          </w:p>
        </w:tc>
        <w:tc>
          <w:tcPr>
            <w:tcW w:type="dxa" w:w="3110"/>
            <w:vAlign w:val="center"/>
            <w:shd w:fill="F3F6F8"/>
          </w:tcPr>
          <w:p>
            <w:pPr>
              <w:keepNext w:val="0"/>
              <w:spacing w:before="0" w:after="0" w:line="283" w:lineRule="auto"/>
              <w:jc w:val="left"/>
            </w:pPr>
            <w:r>
              <w:rPr>
                <w:sz w:val="20"/>
              </w:rPr>
              <w:t>承諾抽取與固定輸出</w:t>
            </w:r>
          </w:p>
        </w:tc>
        <w:tc>
          <w:tcPr>
            <w:tcW w:type="dxa" w:w="3038"/>
            <w:vAlign w:val="center"/>
            <w:shd w:fill="F3F6F8"/>
          </w:tcPr>
          <w:p>
            <w:pPr>
              <w:keepNext w:val="0"/>
              <w:spacing w:before="0" w:after="0" w:line="283" w:lineRule="auto"/>
              <w:jc w:val="left"/>
            </w:pPr>
            <w:r>
              <w:rPr>
                <w:sz w:val="20"/>
              </w:rPr>
              <w:t>整理案例組及答案</w:t>
            </w:r>
          </w:p>
        </w:tc>
        <w:tc>
          <w:tcPr>
            <w:tcW w:type="dxa" w:w="3082"/>
            <w:vAlign w:val="center"/>
            <w:shd w:fill="F3F6F8"/>
          </w:tcPr>
          <w:p>
            <w:pPr>
              <w:keepNext w:val="0"/>
              <w:spacing w:before="0" w:after="0" w:line="283" w:lineRule="auto"/>
              <w:jc w:val="left"/>
            </w:pPr>
            <w:r>
              <w:rPr>
                <w:sz w:val="20"/>
              </w:rPr>
              <w:t>五案模型比較紀錄</w:t>
            </w:r>
          </w:p>
        </w:tc>
      </w:tr>
      <w:tr>
        <w:trPr>
          <w:cantSplit/>
        </w:trPr>
        <w:tc>
          <w:tcPr>
            <w:tcW w:type="dxa" w:w="936"/>
            <w:vAlign w:val="center"/>
            <w:shd w:fill="FFFFFF"/>
          </w:tcPr>
          <w:p>
            <w:pPr>
              <w:keepNext w:val="0"/>
              <w:spacing w:before="0" w:after="0" w:line="283" w:lineRule="auto"/>
              <w:jc w:val="center"/>
            </w:pPr>
            <w:r>
              <w:rPr>
                <w:sz w:val="20"/>
              </w:rPr>
              <w:t>9/14</w:t>
            </w:r>
          </w:p>
        </w:tc>
        <w:tc>
          <w:tcPr>
            <w:tcW w:type="dxa" w:w="3110"/>
            <w:vAlign w:val="center"/>
            <w:shd w:fill="FFFFFF"/>
          </w:tcPr>
          <w:p>
            <w:pPr>
              <w:keepNext w:val="0"/>
              <w:spacing w:before="0" w:after="0" w:line="283" w:lineRule="auto"/>
              <w:jc w:val="left"/>
            </w:pPr>
            <w:r>
              <w:rPr>
                <w:sz w:val="20"/>
              </w:rPr>
              <w:t>差異分析初版與存取檢查</w:t>
            </w:r>
          </w:p>
        </w:tc>
        <w:tc>
          <w:tcPr>
            <w:tcW w:type="dxa" w:w="3038"/>
            <w:vAlign w:val="center"/>
            <w:shd w:fill="FFFFFF"/>
          </w:tcPr>
          <w:p>
            <w:pPr>
              <w:keepNext w:val="0"/>
              <w:spacing w:before="0" w:after="0" w:line="283" w:lineRule="auto"/>
              <w:jc w:val="left"/>
            </w:pPr>
            <w:r>
              <w:rPr>
                <w:sz w:val="20"/>
              </w:rPr>
              <w:t>接上分析 UI，測試錯誤狀態</w:t>
            </w:r>
          </w:p>
        </w:tc>
        <w:tc>
          <w:tcPr>
            <w:tcW w:type="dxa" w:w="3082"/>
            <w:vAlign w:val="center"/>
            <w:shd w:fill="FFFFFF"/>
          </w:tcPr>
          <w:p>
            <w:pPr>
              <w:keepNext w:val="0"/>
              <w:spacing w:before="0" w:after="0" w:line="283" w:lineRule="auto"/>
              <w:jc w:val="left"/>
            </w:pPr>
            <w:r>
              <w:rPr>
                <w:sz w:val="20"/>
              </w:rPr>
              <w:t>陌生輸入能產生提案</w:t>
            </w:r>
          </w:p>
        </w:tc>
      </w:tr>
      <w:tr>
        <w:trPr>
          <w:cantSplit/>
        </w:trPr>
        <w:tc>
          <w:tcPr>
            <w:tcW w:type="dxa" w:w="936"/>
            <w:vAlign w:val="center"/>
            <w:shd w:fill="F3F6F8"/>
          </w:tcPr>
          <w:p>
            <w:pPr>
              <w:keepNext w:val="0"/>
              <w:spacing w:before="0" w:after="0" w:line="283" w:lineRule="auto"/>
              <w:jc w:val="center"/>
            </w:pPr>
            <w:r>
              <w:rPr>
                <w:sz w:val="20"/>
              </w:rPr>
              <w:t>9/15</w:t>
            </w:r>
          </w:p>
        </w:tc>
        <w:tc>
          <w:tcPr>
            <w:tcW w:type="dxa" w:w="3110"/>
            <w:vAlign w:val="center"/>
            <w:shd w:fill="F3F6F8"/>
          </w:tcPr>
          <w:p>
            <w:pPr>
              <w:keepNext w:val="0"/>
              <w:spacing w:before="0" w:after="0" w:line="283" w:lineRule="auto"/>
              <w:jc w:val="left"/>
            </w:pPr>
            <w:r>
              <w:rPr>
                <w:sz w:val="20"/>
              </w:rPr>
              <w:t>雲端第一週驗收</w:t>
            </w:r>
          </w:p>
        </w:tc>
        <w:tc>
          <w:tcPr>
            <w:tcW w:type="dxa" w:w="3038"/>
            <w:vAlign w:val="center"/>
            <w:shd w:fill="F3F6F8"/>
          </w:tcPr>
          <w:p>
            <w:pPr>
              <w:keepNext w:val="0"/>
              <w:spacing w:before="0" w:after="0" w:line="283" w:lineRule="auto"/>
              <w:jc w:val="left"/>
            </w:pPr>
            <w:r>
              <w:rPr>
                <w:sz w:val="20"/>
              </w:rPr>
              <w:t>檢查英文操作與來源可讀性</w:t>
            </w:r>
          </w:p>
        </w:tc>
        <w:tc>
          <w:tcPr>
            <w:tcW w:type="dxa" w:w="3082"/>
            <w:vAlign w:val="center"/>
            <w:shd w:fill="F3F6F8"/>
          </w:tcPr>
          <w:p>
            <w:pPr>
              <w:keepNext w:val="0"/>
              <w:spacing w:before="0" w:after="0" w:line="283" w:lineRule="auto"/>
              <w:jc w:val="left"/>
            </w:pPr>
            <w:r>
              <w:rPr>
                <w:sz w:val="20"/>
              </w:rPr>
              <w:t>G1 雲端分析里程碑</w:t>
            </w:r>
          </w:p>
        </w:tc>
      </w:tr>
      <w:tr>
        <w:trPr>
          <w:cantSplit/>
        </w:trPr>
        <w:tc>
          <w:tcPr>
            <w:tcW w:type="dxa" w:w="936"/>
            <w:vAlign w:val="center"/>
            <w:shd w:fill="FFFFFF"/>
          </w:tcPr>
          <w:p>
            <w:pPr>
              <w:keepNext w:val="0"/>
              <w:spacing w:before="0" w:after="0" w:line="283" w:lineRule="auto"/>
              <w:jc w:val="center"/>
            </w:pPr>
            <w:r>
              <w:rPr>
                <w:sz w:val="20"/>
              </w:rPr>
              <w:t>9/16</w:t>
            </w:r>
          </w:p>
        </w:tc>
        <w:tc>
          <w:tcPr>
            <w:tcW w:type="dxa" w:w="3110"/>
            <w:vAlign w:val="center"/>
            <w:shd w:fill="FFFFFF"/>
          </w:tcPr>
          <w:p>
            <w:pPr>
              <w:keepNext w:val="0"/>
              <w:spacing w:before="0" w:after="0" w:line="283" w:lineRule="auto"/>
              <w:jc w:val="left"/>
            </w:pPr>
            <w:r>
              <w:rPr>
                <w:sz w:val="20"/>
              </w:rPr>
              <w:t>三類變更判定</w:t>
            </w:r>
          </w:p>
        </w:tc>
        <w:tc>
          <w:tcPr>
            <w:tcW w:type="dxa" w:w="3038"/>
            <w:vAlign w:val="center"/>
            <w:shd w:fill="FFFFFF"/>
          </w:tcPr>
          <w:p>
            <w:pPr>
              <w:keepNext w:val="0"/>
              <w:spacing w:before="0" w:after="0" w:line="283" w:lineRule="auto"/>
              <w:jc w:val="left"/>
            </w:pPr>
            <w:r>
              <w:rPr>
                <w:sz w:val="20"/>
              </w:rPr>
              <w:t>任務前後差異畫面</w:t>
            </w:r>
          </w:p>
        </w:tc>
        <w:tc>
          <w:tcPr>
            <w:tcW w:type="dxa" w:w="3082"/>
            <w:vAlign w:val="center"/>
            <w:shd w:fill="FFFFFF"/>
          </w:tcPr>
          <w:p>
            <w:pPr>
              <w:keepNext w:val="0"/>
              <w:spacing w:before="0" w:after="0" w:line="283" w:lineRule="auto"/>
              <w:jc w:val="left"/>
            </w:pPr>
            <w:r>
              <w:rPr>
                <w:sz w:val="20"/>
              </w:rPr>
              <w:t>變更與原文一一對應</w:t>
            </w:r>
          </w:p>
        </w:tc>
      </w:tr>
      <w:tr>
        <w:trPr>
          <w:cantSplit/>
        </w:trPr>
        <w:tc>
          <w:tcPr>
            <w:tcW w:type="dxa" w:w="936"/>
            <w:vAlign w:val="center"/>
            <w:shd w:fill="F3F6F8"/>
          </w:tcPr>
          <w:p>
            <w:pPr>
              <w:keepNext w:val="0"/>
              <w:spacing w:before="0" w:after="0" w:line="283" w:lineRule="auto"/>
              <w:jc w:val="center"/>
            </w:pPr>
            <w:r>
              <w:rPr>
                <w:sz w:val="20"/>
              </w:rPr>
              <w:t>9/17</w:t>
            </w:r>
          </w:p>
        </w:tc>
        <w:tc>
          <w:tcPr>
            <w:tcW w:type="dxa" w:w="3110"/>
            <w:vAlign w:val="center"/>
            <w:shd w:fill="F3F6F8"/>
          </w:tcPr>
          <w:p>
            <w:pPr>
              <w:keepNext w:val="0"/>
              <w:spacing w:before="0" w:after="0" w:line="283" w:lineRule="auto"/>
              <w:jc w:val="left"/>
            </w:pPr>
            <w:r>
              <w:rPr>
                <w:sz w:val="20"/>
              </w:rPr>
              <w:t>既有任務關聯與驗證</w:t>
            </w:r>
          </w:p>
        </w:tc>
        <w:tc>
          <w:tcPr>
            <w:tcW w:type="dxa" w:w="3038"/>
            <w:vAlign w:val="center"/>
            <w:shd w:fill="F3F6F8"/>
          </w:tcPr>
          <w:p>
            <w:pPr>
              <w:keepNext w:val="0"/>
              <w:spacing w:before="0" w:after="0" w:line="283" w:lineRule="auto"/>
              <w:jc w:val="left"/>
            </w:pPr>
            <w:r>
              <w:rPr>
                <w:sz w:val="20"/>
              </w:rPr>
              <w:t>提案編輯與澄清介面</w:t>
            </w:r>
          </w:p>
        </w:tc>
        <w:tc>
          <w:tcPr>
            <w:tcW w:type="dxa" w:w="3082"/>
            <w:vAlign w:val="center"/>
            <w:shd w:fill="F3F6F8"/>
          </w:tcPr>
          <w:p>
            <w:pPr>
              <w:keepNext w:val="0"/>
              <w:spacing w:before="0" w:after="0" w:line="283" w:lineRule="auto"/>
              <w:jc w:val="left"/>
            </w:pPr>
            <w:r>
              <w:rPr>
                <w:sz w:val="20"/>
              </w:rPr>
              <w:t>更新內容可供人檢閱</w:t>
            </w:r>
          </w:p>
        </w:tc>
      </w:tr>
      <w:tr>
        <w:trPr>
          <w:cantSplit/>
        </w:trPr>
        <w:tc>
          <w:tcPr>
            <w:tcW w:type="dxa" w:w="936"/>
            <w:vAlign w:val="center"/>
            <w:shd w:fill="FFFFFF"/>
          </w:tcPr>
          <w:p>
            <w:pPr>
              <w:keepNext w:val="0"/>
              <w:spacing w:before="0" w:after="0" w:line="283" w:lineRule="auto"/>
              <w:jc w:val="center"/>
            </w:pPr>
            <w:r>
              <w:rPr>
                <w:sz w:val="20"/>
              </w:rPr>
              <w:t>9/18</w:t>
            </w:r>
          </w:p>
        </w:tc>
        <w:tc>
          <w:tcPr>
            <w:tcW w:type="dxa" w:w="3110"/>
            <w:vAlign w:val="center"/>
            <w:shd w:fill="FFFFFF"/>
          </w:tcPr>
          <w:p>
            <w:pPr>
              <w:keepNext w:val="0"/>
              <w:spacing w:before="0" w:after="0" w:line="283" w:lineRule="auto"/>
              <w:jc w:val="left"/>
            </w:pPr>
            <w:r>
              <w:rPr>
                <w:sz w:val="20"/>
              </w:rPr>
              <w:t>核准內容與版本綁定</w:t>
            </w:r>
          </w:p>
        </w:tc>
        <w:tc>
          <w:tcPr>
            <w:tcW w:type="dxa" w:w="3038"/>
            <w:vAlign w:val="center"/>
            <w:shd w:fill="FFFFFF"/>
          </w:tcPr>
          <w:p>
            <w:pPr>
              <w:keepNext w:val="0"/>
              <w:spacing w:before="0" w:after="0" w:line="283" w:lineRule="auto"/>
              <w:jc w:val="left"/>
            </w:pPr>
            <w:r>
              <w:rPr>
                <w:sz w:val="20"/>
              </w:rPr>
              <w:t>角色切換及操作回饋</w:t>
            </w:r>
          </w:p>
        </w:tc>
        <w:tc>
          <w:tcPr>
            <w:tcW w:type="dxa" w:w="3082"/>
            <w:vAlign w:val="center"/>
            <w:shd w:fill="FFFFFF"/>
          </w:tcPr>
          <w:p>
            <w:pPr>
              <w:keepNext w:val="0"/>
              <w:spacing w:before="0" w:after="0" w:line="283" w:lineRule="auto"/>
              <w:jc w:val="left"/>
            </w:pPr>
            <w:r>
              <w:rPr>
                <w:sz w:val="20"/>
              </w:rPr>
              <w:t>權限測試紀錄</w:t>
            </w:r>
          </w:p>
        </w:tc>
      </w:tr>
      <w:tr>
        <w:trPr>
          <w:cantSplit/>
        </w:trPr>
        <w:tc>
          <w:tcPr>
            <w:tcW w:type="dxa" w:w="936"/>
            <w:vAlign w:val="center"/>
            <w:shd w:fill="F3F6F8"/>
          </w:tcPr>
          <w:p>
            <w:pPr>
              <w:keepNext w:val="0"/>
              <w:spacing w:before="0" w:after="0" w:line="283" w:lineRule="auto"/>
              <w:jc w:val="center"/>
            </w:pPr>
            <w:r>
              <w:rPr>
                <w:sz w:val="20"/>
              </w:rPr>
              <w:t>9/19</w:t>
            </w:r>
          </w:p>
        </w:tc>
        <w:tc>
          <w:tcPr>
            <w:tcW w:type="dxa" w:w="3110"/>
            <w:vAlign w:val="center"/>
            <w:shd w:fill="F3F6F8"/>
          </w:tcPr>
          <w:p>
            <w:pPr>
              <w:keepNext w:val="0"/>
              <w:spacing w:before="0" w:after="0" w:line="283" w:lineRule="auto"/>
              <w:jc w:val="left"/>
            </w:pPr>
            <w:r>
              <w:rPr>
                <w:sz w:val="20"/>
              </w:rPr>
              <w:t>Firestore 交易及防重複更新</w:t>
            </w:r>
          </w:p>
        </w:tc>
        <w:tc>
          <w:tcPr>
            <w:tcW w:type="dxa" w:w="3038"/>
            <w:vAlign w:val="center"/>
            <w:shd w:fill="F3F6F8"/>
          </w:tcPr>
          <w:p>
            <w:pPr>
              <w:keepNext w:val="0"/>
              <w:spacing w:before="0" w:after="0" w:line="283" w:lineRule="auto"/>
              <w:jc w:val="left"/>
            </w:pPr>
            <w:r>
              <w:rPr>
                <w:sz w:val="20"/>
              </w:rPr>
              <w:t>結果畫面與回讀測試</w:t>
            </w:r>
          </w:p>
        </w:tc>
        <w:tc>
          <w:tcPr>
            <w:tcW w:type="dxa" w:w="3082"/>
            <w:vAlign w:val="center"/>
            <w:shd w:fill="F3F6F8"/>
          </w:tcPr>
          <w:p>
            <w:pPr>
              <w:keepNext w:val="0"/>
              <w:spacing w:before="0" w:after="0" w:line="283" w:lineRule="auto"/>
              <w:jc w:val="left"/>
            </w:pPr>
            <w:r>
              <w:rPr>
                <w:sz w:val="20"/>
              </w:rPr>
              <w:t>一次正確持久化更新</w:t>
            </w:r>
          </w:p>
        </w:tc>
      </w:tr>
      <w:tr>
        <w:trPr>
          <w:cantSplit/>
        </w:trPr>
        <w:tc>
          <w:tcPr>
            <w:tcW w:type="dxa" w:w="936"/>
            <w:vAlign w:val="center"/>
            <w:shd w:fill="FFFFFF"/>
          </w:tcPr>
          <w:p>
            <w:pPr>
              <w:keepNext w:val="0"/>
              <w:spacing w:before="0" w:after="0" w:line="283" w:lineRule="auto"/>
              <w:jc w:val="center"/>
            </w:pPr>
            <w:r>
              <w:rPr>
                <w:sz w:val="20"/>
              </w:rPr>
              <w:t>9/20</w:t>
            </w:r>
          </w:p>
        </w:tc>
        <w:tc>
          <w:tcPr>
            <w:tcW w:type="dxa" w:w="3110"/>
            <w:vAlign w:val="center"/>
            <w:shd w:fill="FFFFFF"/>
          </w:tcPr>
          <w:p>
            <w:pPr>
              <w:keepNext w:val="0"/>
              <w:spacing w:before="0" w:after="0" w:line="283" w:lineRule="auto"/>
              <w:jc w:val="left"/>
            </w:pPr>
            <w:r>
              <w:rPr>
                <w:sz w:val="20"/>
              </w:rPr>
              <w:t>來源改版與任務並行修改</w:t>
            </w:r>
          </w:p>
        </w:tc>
        <w:tc>
          <w:tcPr>
            <w:tcW w:type="dxa" w:w="3038"/>
            <w:vAlign w:val="center"/>
            <w:shd w:fill="FFFFFF"/>
          </w:tcPr>
          <w:p>
            <w:pPr>
              <w:keepNext w:val="0"/>
              <w:spacing w:before="0" w:after="0" w:line="283" w:lineRule="auto"/>
              <w:jc w:val="left"/>
            </w:pPr>
            <w:r>
              <w:rPr>
                <w:sz w:val="20"/>
              </w:rPr>
              <w:t>過期提案的使用體驗</w:t>
            </w:r>
          </w:p>
        </w:tc>
        <w:tc>
          <w:tcPr>
            <w:tcW w:type="dxa" w:w="3082"/>
            <w:vAlign w:val="center"/>
            <w:shd w:fill="FFFFFF"/>
          </w:tcPr>
          <w:p>
            <w:pPr>
              <w:keepNext w:val="0"/>
              <w:spacing w:before="0" w:after="0" w:line="283" w:lineRule="auto"/>
              <w:jc w:val="left"/>
            </w:pPr>
            <w:r>
              <w:rPr>
                <w:sz w:val="20"/>
              </w:rPr>
              <w:t>版本衝突可重現測試</w:t>
            </w:r>
          </w:p>
        </w:tc>
      </w:tr>
      <w:tr>
        <w:trPr>
          <w:cantSplit/>
        </w:trPr>
        <w:tc>
          <w:tcPr>
            <w:tcW w:type="dxa" w:w="936"/>
            <w:vAlign w:val="center"/>
            <w:shd w:fill="F3F6F8"/>
          </w:tcPr>
          <w:p>
            <w:pPr>
              <w:keepNext w:val="0"/>
              <w:spacing w:before="0" w:after="0" w:line="283" w:lineRule="auto"/>
              <w:jc w:val="center"/>
            </w:pPr>
            <w:r>
              <w:rPr>
                <w:sz w:val="20"/>
              </w:rPr>
              <w:t>9/21</w:t>
            </w:r>
          </w:p>
        </w:tc>
        <w:tc>
          <w:tcPr>
            <w:tcW w:type="dxa" w:w="3110"/>
            <w:vAlign w:val="center"/>
            <w:shd w:fill="F3F6F8"/>
          </w:tcPr>
          <w:p>
            <w:pPr>
              <w:keepNext w:val="0"/>
              <w:spacing w:before="0" w:after="0" w:line="283" w:lineRule="auto"/>
              <w:jc w:val="left"/>
            </w:pPr>
            <w:r>
              <w:rPr>
                <w:sz w:val="20"/>
              </w:rPr>
              <w:t>逾時、格式與用量限制</w:t>
            </w:r>
          </w:p>
        </w:tc>
        <w:tc>
          <w:tcPr>
            <w:tcW w:type="dxa" w:w="3038"/>
            <w:vAlign w:val="center"/>
            <w:shd w:fill="F3F6F8"/>
          </w:tcPr>
          <w:p>
            <w:pPr>
              <w:keepNext w:val="0"/>
              <w:spacing w:before="0" w:after="0" w:line="283" w:lineRule="auto"/>
              <w:jc w:val="left"/>
            </w:pPr>
            <w:r>
              <w:rPr>
                <w:sz w:val="20"/>
              </w:rPr>
              <w:t>試用流程與案例說明</w:t>
            </w:r>
          </w:p>
        </w:tc>
        <w:tc>
          <w:tcPr>
            <w:tcW w:type="dxa" w:w="3082"/>
            <w:vAlign w:val="center"/>
            <w:shd w:fill="F3F6F8"/>
          </w:tcPr>
          <w:p>
            <w:pPr>
              <w:keepNext w:val="0"/>
              <w:spacing w:before="0" w:after="0" w:line="283" w:lineRule="auto"/>
              <w:jc w:val="left"/>
            </w:pPr>
            <w:r>
              <w:rPr>
                <w:sz w:val="20"/>
              </w:rPr>
              <w:t>錯誤處理及限制檢查</w:t>
            </w:r>
          </w:p>
        </w:tc>
      </w:tr>
      <w:tr>
        <w:trPr>
          <w:cantSplit/>
        </w:trPr>
        <w:tc>
          <w:tcPr>
            <w:tcW w:type="dxa" w:w="936"/>
            <w:vAlign w:val="center"/>
            <w:shd w:fill="FFFFFF"/>
          </w:tcPr>
          <w:p>
            <w:pPr>
              <w:keepNext w:val="0"/>
              <w:spacing w:before="0" w:after="0" w:line="283" w:lineRule="auto"/>
              <w:jc w:val="center"/>
            </w:pPr>
            <w:r>
              <w:rPr>
                <w:sz w:val="20"/>
              </w:rPr>
              <w:t>9/22</w:t>
            </w:r>
          </w:p>
        </w:tc>
        <w:tc>
          <w:tcPr>
            <w:tcW w:type="dxa" w:w="3110"/>
            <w:vAlign w:val="center"/>
            <w:shd w:fill="FFFFFF"/>
          </w:tcPr>
          <w:p>
            <w:pPr>
              <w:keepNext w:val="0"/>
              <w:spacing w:before="0" w:after="0" w:line="283" w:lineRule="auto"/>
              <w:jc w:val="left"/>
            </w:pPr>
            <w:r>
              <w:rPr>
                <w:sz w:val="20"/>
              </w:rPr>
              <w:t>第二週端到端驗收</w:t>
            </w:r>
          </w:p>
        </w:tc>
        <w:tc>
          <w:tcPr>
            <w:tcW w:type="dxa" w:w="3038"/>
            <w:vAlign w:val="center"/>
            <w:shd w:fill="FFFFFF"/>
          </w:tcPr>
          <w:p>
            <w:pPr>
              <w:keepNext w:val="0"/>
              <w:spacing w:before="0" w:after="0" w:line="283" w:lineRule="auto"/>
              <w:jc w:val="left"/>
            </w:pPr>
            <w:r>
              <w:rPr>
                <w:sz w:val="20"/>
              </w:rPr>
              <w:t>安排外部試用</w:t>
            </w:r>
          </w:p>
        </w:tc>
        <w:tc>
          <w:tcPr>
            <w:tcW w:type="dxa" w:w="3082"/>
            <w:vAlign w:val="center"/>
            <w:shd w:fill="FFFFFF"/>
          </w:tcPr>
          <w:p>
            <w:pPr>
              <w:keepNext w:val="0"/>
              <w:spacing w:before="0" w:after="0" w:line="283" w:lineRule="auto"/>
              <w:jc w:val="left"/>
            </w:pPr>
            <w:r>
              <w:rPr>
                <w:sz w:val="20"/>
              </w:rPr>
              <w:t>G2 完整流程里程碑</w:t>
            </w:r>
          </w:p>
        </w:tc>
      </w:tr>
      <w:tr>
        <w:trPr>
          <w:cantSplit/>
        </w:trPr>
        <w:tc>
          <w:tcPr>
            <w:tcW w:type="dxa" w:w="936"/>
            <w:vAlign w:val="center"/>
            <w:shd w:fill="F3F6F8"/>
          </w:tcPr>
          <w:p>
            <w:pPr>
              <w:keepNext w:val="0"/>
              <w:spacing w:before="0" w:after="0" w:line="283" w:lineRule="auto"/>
              <w:jc w:val="center"/>
            </w:pPr>
            <w:r>
              <w:rPr>
                <w:sz w:val="20"/>
              </w:rPr>
              <w:t>9/23</w:t>
            </w:r>
          </w:p>
        </w:tc>
        <w:tc>
          <w:tcPr>
            <w:tcW w:type="dxa" w:w="3110"/>
            <w:vAlign w:val="center"/>
            <w:shd w:fill="F3F6F8"/>
          </w:tcPr>
          <w:p>
            <w:pPr>
              <w:keepNext w:val="0"/>
              <w:spacing w:before="0" w:after="0" w:line="283" w:lineRule="auto"/>
              <w:jc w:val="left"/>
            </w:pPr>
            <w:r>
              <w:rPr>
                <w:sz w:val="20"/>
              </w:rPr>
              <w:t>執行品質與用量比較</w:t>
            </w:r>
          </w:p>
        </w:tc>
        <w:tc>
          <w:tcPr>
            <w:tcW w:type="dxa" w:w="3038"/>
            <w:vAlign w:val="center"/>
            <w:shd w:fill="F3F6F8"/>
          </w:tcPr>
          <w:p>
            <w:pPr>
              <w:keepNext w:val="0"/>
              <w:spacing w:before="0" w:after="0" w:line="283" w:lineRule="auto"/>
              <w:jc w:val="left"/>
            </w:pPr>
            <w:r>
              <w:rPr>
                <w:sz w:val="20"/>
              </w:rPr>
              <w:t>使用者時間比較</w:t>
            </w:r>
          </w:p>
        </w:tc>
        <w:tc>
          <w:tcPr>
            <w:tcW w:type="dxa" w:w="3082"/>
            <w:vAlign w:val="center"/>
            <w:shd w:fill="F3F6F8"/>
          </w:tcPr>
          <w:p>
            <w:pPr>
              <w:keepNext w:val="0"/>
              <w:spacing w:before="0" w:after="0" w:line="283" w:lineRule="auto"/>
              <w:jc w:val="left"/>
            </w:pPr>
            <w:r>
              <w:rPr>
                <w:sz w:val="20"/>
              </w:rPr>
              <w:t>原始測試與觀察紀錄</w:t>
            </w:r>
          </w:p>
        </w:tc>
      </w:tr>
      <w:tr>
        <w:trPr>
          <w:cantSplit/>
        </w:trPr>
        <w:tc>
          <w:tcPr>
            <w:tcW w:type="dxa" w:w="936"/>
            <w:vAlign w:val="center"/>
            <w:shd w:fill="FFFFFF"/>
          </w:tcPr>
          <w:p>
            <w:pPr>
              <w:keepNext w:val="0"/>
              <w:spacing w:before="0" w:after="0" w:line="283" w:lineRule="auto"/>
              <w:jc w:val="center"/>
            </w:pPr>
            <w:r>
              <w:rPr>
                <w:sz w:val="20"/>
              </w:rPr>
              <w:t>9/24</w:t>
            </w:r>
          </w:p>
        </w:tc>
        <w:tc>
          <w:tcPr>
            <w:tcW w:type="dxa" w:w="3110"/>
            <w:vAlign w:val="center"/>
            <w:shd w:fill="FFFFFF"/>
          </w:tcPr>
          <w:p>
            <w:pPr>
              <w:keepNext w:val="0"/>
              <w:spacing w:before="0" w:after="0" w:line="283" w:lineRule="auto"/>
              <w:jc w:val="left"/>
            </w:pPr>
            <w:r>
              <w:rPr>
                <w:sz w:val="20"/>
              </w:rPr>
              <w:t>修正主要錯誤</w:t>
            </w:r>
          </w:p>
        </w:tc>
        <w:tc>
          <w:tcPr>
            <w:tcW w:type="dxa" w:w="3038"/>
            <w:vAlign w:val="center"/>
            <w:shd w:fill="FFFFFF"/>
          </w:tcPr>
          <w:p>
            <w:pPr>
              <w:keepNext w:val="0"/>
              <w:spacing w:before="0" w:after="0" w:line="283" w:lineRule="auto"/>
              <w:jc w:val="left"/>
            </w:pPr>
            <w:r>
              <w:rPr>
                <w:sz w:val="20"/>
              </w:rPr>
              <w:t>修正主要操作障礙</w:t>
            </w:r>
          </w:p>
        </w:tc>
        <w:tc>
          <w:tcPr>
            <w:tcW w:type="dxa" w:w="3082"/>
            <w:vAlign w:val="center"/>
            <w:shd w:fill="FFFFFF"/>
          </w:tcPr>
          <w:p>
            <w:pPr>
              <w:keepNext w:val="0"/>
              <w:spacing w:before="0" w:after="0" w:line="283" w:lineRule="auto"/>
              <w:jc w:val="left"/>
            </w:pPr>
            <w:r>
              <w:rPr>
                <w:sz w:val="20"/>
              </w:rPr>
              <w:t>使用者問題關閉證據</w:t>
            </w:r>
          </w:p>
        </w:tc>
      </w:tr>
      <w:tr>
        <w:trPr>
          <w:cantSplit/>
        </w:trPr>
        <w:tc>
          <w:tcPr>
            <w:tcW w:type="dxa" w:w="936"/>
            <w:vAlign w:val="center"/>
            <w:shd w:fill="F3F6F8"/>
          </w:tcPr>
          <w:p>
            <w:pPr>
              <w:keepNext w:val="0"/>
              <w:spacing w:before="0" w:after="0" w:line="283" w:lineRule="auto"/>
              <w:jc w:val="center"/>
            </w:pPr>
            <w:r>
              <w:rPr>
                <w:sz w:val="20"/>
              </w:rPr>
              <w:t>9/25</w:t>
            </w:r>
          </w:p>
        </w:tc>
        <w:tc>
          <w:tcPr>
            <w:tcW w:type="dxa" w:w="3110"/>
            <w:vAlign w:val="center"/>
            <w:shd w:fill="F3F6F8"/>
          </w:tcPr>
          <w:p>
            <w:pPr>
              <w:keepNext w:val="0"/>
              <w:spacing w:before="0" w:after="0" w:line="283" w:lineRule="auto"/>
              <w:jc w:val="left"/>
            </w:pPr>
            <w:r>
              <w:rPr>
                <w:sz w:val="20"/>
              </w:rPr>
              <w:t>發布必要測試與建置檢查</w:t>
            </w:r>
          </w:p>
        </w:tc>
        <w:tc>
          <w:tcPr>
            <w:tcW w:type="dxa" w:w="3038"/>
            <w:vAlign w:val="center"/>
            <w:shd w:fill="F3F6F8"/>
          </w:tcPr>
          <w:p>
            <w:pPr>
              <w:keepNext w:val="0"/>
              <w:spacing w:before="0" w:after="0" w:line="283" w:lineRule="auto"/>
              <w:jc w:val="left"/>
            </w:pPr>
            <w:r>
              <w:rPr>
                <w:sz w:val="20"/>
              </w:rPr>
              <w:t>英文文件初稿</w:t>
            </w:r>
          </w:p>
        </w:tc>
        <w:tc>
          <w:tcPr>
            <w:tcW w:type="dxa" w:w="3082"/>
            <w:vAlign w:val="center"/>
            <w:shd w:fill="F3F6F8"/>
          </w:tcPr>
          <w:p>
            <w:pPr>
              <w:keepNext w:val="0"/>
              <w:spacing w:before="0" w:after="0" w:line="283" w:lineRule="auto"/>
              <w:jc w:val="left"/>
            </w:pPr>
            <w:r>
              <w:rPr>
                <w:sz w:val="20"/>
              </w:rPr>
              <w:t>測試報告與文件草稿</w:t>
            </w:r>
          </w:p>
        </w:tc>
      </w:tr>
      <w:tr>
        <w:trPr>
          <w:cantSplit/>
        </w:trPr>
        <w:tc>
          <w:tcPr>
            <w:tcW w:type="dxa" w:w="936"/>
            <w:vAlign w:val="center"/>
            <w:shd w:fill="FFFFFF"/>
          </w:tcPr>
          <w:p>
            <w:pPr>
              <w:keepNext w:val="0"/>
              <w:spacing w:before="0" w:after="0" w:line="283" w:lineRule="auto"/>
              <w:jc w:val="center"/>
            </w:pPr>
            <w:r>
              <w:rPr>
                <w:sz w:val="20"/>
              </w:rPr>
              <w:t>9/26</w:t>
            </w:r>
          </w:p>
        </w:tc>
        <w:tc>
          <w:tcPr>
            <w:tcW w:type="dxa" w:w="3110"/>
            <w:vAlign w:val="center"/>
            <w:shd w:fill="FFFFFF"/>
          </w:tcPr>
          <w:p>
            <w:pPr>
              <w:keepNext w:val="0"/>
              <w:spacing w:before="0" w:after="0" w:line="283" w:lineRule="auto"/>
              <w:jc w:val="left"/>
            </w:pPr>
            <w:r>
              <w:rPr>
                <w:sz w:val="20"/>
              </w:rPr>
              <w:t>固定版本並執行保留組</w:t>
            </w:r>
          </w:p>
        </w:tc>
        <w:tc>
          <w:tcPr>
            <w:tcW w:type="dxa" w:w="3038"/>
            <w:vAlign w:val="center"/>
            <w:shd w:fill="FFFFFF"/>
          </w:tcPr>
          <w:p>
            <w:pPr>
              <w:keepNext w:val="0"/>
              <w:spacing w:before="0" w:after="0" w:line="283" w:lineRule="auto"/>
              <w:jc w:val="left"/>
            </w:pPr>
            <w:r>
              <w:rPr>
                <w:sz w:val="20"/>
              </w:rPr>
              <w:t>盲評及結果彙整</w:t>
            </w:r>
          </w:p>
        </w:tc>
        <w:tc>
          <w:tcPr>
            <w:tcW w:type="dxa" w:w="3082"/>
            <w:vAlign w:val="center"/>
            <w:shd w:fill="FFFFFF"/>
          </w:tcPr>
          <w:p>
            <w:pPr>
              <w:keepNext w:val="0"/>
              <w:spacing w:before="0" w:after="0" w:line="283" w:lineRule="auto"/>
              <w:jc w:val="left"/>
            </w:pPr>
            <w:r>
              <w:rPr>
                <w:sz w:val="20"/>
              </w:rPr>
              <w:t>G3 最終評估版本</w:t>
            </w:r>
          </w:p>
        </w:tc>
      </w:tr>
      <w:tr>
        <w:trPr>
          <w:cantSplit/>
        </w:trPr>
        <w:tc>
          <w:tcPr>
            <w:tcW w:type="dxa" w:w="936"/>
            <w:vAlign w:val="center"/>
            <w:shd w:fill="F3F6F8"/>
          </w:tcPr>
          <w:p>
            <w:pPr>
              <w:keepNext w:val="0"/>
              <w:spacing w:before="0" w:after="0" w:line="283" w:lineRule="auto"/>
              <w:jc w:val="center"/>
            </w:pPr>
            <w:r>
              <w:rPr>
                <w:sz w:val="20"/>
              </w:rPr>
              <w:t>9/27</w:t>
            </w:r>
          </w:p>
        </w:tc>
        <w:tc>
          <w:tcPr>
            <w:tcW w:type="dxa" w:w="3110"/>
            <w:vAlign w:val="center"/>
            <w:shd w:fill="F3F6F8"/>
          </w:tcPr>
          <w:p>
            <w:pPr>
              <w:keepNext w:val="0"/>
              <w:spacing w:before="0" w:after="0" w:line="283" w:lineRule="auto"/>
              <w:jc w:val="left"/>
            </w:pPr>
            <w:r>
              <w:rPr>
                <w:sz w:val="20"/>
              </w:rPr>
              <w:t>技術架構與重現說明</w:t>
            </w:r>
          </w:p>
        </w:tc>
        <w:tc>
          <w:tcPr>
            <w:tcW w:type="dxa" w:w="3038"/>
            <w:vAlign w:val="center"/>
            <w:shd w:fill="F3F6F8"/>
          </w:tcPr>
          <w:p>
            <w:pPr>
              <w:keepNext w:val="0"/>
              <w:spacing w:before="0" w:after="0" w:line="283" w:lineRule="auto"/>
              <w:jc w:val="left"/>
            </w:pPr>
            <w:r>
              <w:rPr>
                <w:sz w:val="20"/>
              </w:rPr>
              <w:t>英文簡報、錄影與字幕</w:t>
            </w:r>
          </w:p>
        </w:tc>
        <w:tc>
          <w:tcPr>
            <w:tcW w:type="dxa" w:w="3082"/>
            <w:vAlign w:val="center"/>
            <w:shd w:fill="F3F6F8"/>
          </w:tcPr>
          <w:p>
            <w:pPr>
              <w:keepNext w:val="0"/>
              <w:spacing w:before="0" w:after="0" w:line="283" w:lineRule="auto"/>
              <w:jc w:val="left"/>
            </w:pPr>
            <w:r>
              <w:rPr>
                <w:sz w:val="20"/>
              </w:rPr>
              <w:t>PDF 草稿及短影片</w:t>
            </w:r>
          </w:p>
        </w:tc>
      </w:tr>
      <w:tr>
        <w:trPr>
          <w:cantSplit/>
        </w:trPr>
        <w:tc>
          <w:tcPr>
            <w:tcW w:type="dxa" w:w="936"/>
            <w:vAlign w:val="center"/>
            <w:shd w:fill="FFFFFF"/>
          </w:tcPr>
          <w:p>
            <w:pPr>
              <w:keepNext w:val="0"/>
              <w:spacing w:before="0" w:after="0" w:line="283" w:lineRule="auto"/>
              <w:jc w:val="center"/>
            </w:pPr>
            <w:r>
              <w:rPr>
                <w:sz w:val="20"/>
              </w:rPr>
              <w:t>9/28</w:t>
            </w:r>
          </w:p>
        </w:tc>
        <w:tc>
          <w:tcPr>
            <w:tcW w:type="dxa" w:w="3110"/>
            <w:vAlign w:val="center"/>
            <w:shd w:fill="FFFFFF"/>
          </w:tcPr>
          <w:p>
            <w:pPr>
              <w:keepNext w:val="0"/>
              <w:spacing w:before="0" w:after="0" w:line="283" w:lineRule="auto"/>
              <w:jc w:val="left"/>
            </w:pPr>
            <w:r>
              <w:rPr>
                <w:sz w:val="20"/>
              </w:rPr>
              <w:t>第二台裝置驗收與版本核對</w:t>
            </w:r>
          </w:p>
        </w:tc>
        <w:tc>
          <w:tcPr>
            <w:tcW w:type="dxa" w:w="3038"/>
            <w:vAlign w:val="center"/>
            <w:shd w:fill="FFFFFF"/>
          </w:tcPr>
          <w:p>
            <w:pPr>
              <w:keepNext w:val="0"/>
              <w:spacing w:before="0" w:after="0" w:line="283" w:lineRule="auto"/>
              <w:jc w:val="left"/>
            </w:pPr>
            <w:r>
              <w:rPr>
                <w:sz w:val="20"/>
              </w:rPr>
              <w:t>外部連結、語言、授權檢查</w:t>
            </w:r>
          </w:p>
        </w:tc>
        <w:tc>
          <w:tcPr>
            <w:tcW w:type="dxa" w:w="3082"/>
            <w:vAlign w:val="center"/>
            <w:shd w:fill="FFFFFF"/>
          </w:tcPr>
          <w:p>
            <w:pPr>
              <w:keepNext w:val="0"/>
              <w:spacing w:before="0" w:after="0" w:line="283" w:lineRule="auto"/>
              <w:jc w:val="left"/>
            </w:pPr>
            <w:r>
              <w:rPr>
                <w:sz w:val="20"/>
              </w:rPr>
              <w:t>完整交件包</w:t>
            </w:r>
          </w:p>
        </w:tc>
      </w:tr>
      <w:tr>
        <w:trPr>
          <w:cantSplit/>
        </w:trPr>
        <w:tc>
          <w:tcPr>
            <w:tcW w:type="dxa" w:w="936"/>
            <w:vAlign w:val="center"/>
            <w:shd w:fill="F3F6F8"/>
          </w:tcPr>
          <w:p>
            <w:pPr>
              <w:keepNext w:val="0"/>
              <w:spacing w:before="0" w:after="0" w:line="283" w:lineRule="auto"/>
              <w:jc w:val="center"/>
            </w:pPr>
            <w:r>
              <w:rPr>
                <w:sz w:val="20"/>
              </w:rPr>
              <w:t>9/29</w:t>
            </w:r>
          </w:p>
        </w:tc>
        <w:tc>
          <w:tcPr>
            <w:tcW w:type="dxa" w:w="3110"/>
            <w:vAlign w:val="center"/>
            <w:shd w:fill="F3F6F8"/>
          </w:tcPr>
          <w:p>
            <w:pPr>
              <w:keepNext w:val="0"/>
              <w:spacing w:before="0" w:after="0" w:line="283" w:lineRule="auto"/>
              <w:jc w:val="left"/>
            </w:pPr>
            <w:r>
              <w:rPr>
                <w:sz w:val="20"/>
              </w:rPr>
              <w:t>確認部署與回退版本</w:t>
            </w:r>
          </w:p>
        </w:tc>
        <w:tc>
          <w:tcPr>
            <w:tcW w:type="dxa" w:w="3038"/>
            <w:vAlign w:val="center"/>
            <w:shd w:fill="F3F6F8"/>
          </w:tcPr>
          <w:p>
            <w:pPr>
              <w:keepNext w:val="0"/>
              <w:spacing w:before="0" w:after="0" w:line="283" w:lineRule="auto"/>
              <w:jc w:val="left"/>
            </w:pPr>
            <w:r>
              <w:rPr>
                <w:sz w:val="20"/>
              </w:rPr>
              <w:t>隊長完成正式提交</w:t>
            </w:r>
          </w:p>
        </w:tc>
        <w:tc>
          <w:tcPr>
            <w:tcW w:type="dxa" w:w="3082"/>
            <w:vAlign w:val="center"/>
            <w:shd w:fill="F3F6F8"/>
          </w:tcPr>
          <w:p>
            <w:pPr>
              <w:keepNext w:val="0"/>
              <w:spacing w:before="0" w:after="0" w:line="283" w:lineRule="auto"/>
              <w:jc w:val="left"/>
            </w:pPr>
            <w:r>
              <w:rPr>
                <w:sz w:val="20"/>
              </w:rPr>
              <w:t>G4 提交回執與連結紀錄</w:t>
            </w:r>
          </w:p>
        </w:tc>
      </w:tr>
    </w:tbl>
    <w:p>
      <w:pPr>
        <w:spacing w:after="60" w:before="0" w:line="240" w:lineRule="auto"/>
      </w:pPr>
      <w:r>
        <w:rPr>
          <w:sz w:val="6"/>
        </w:rPr>
      </w:r>
    </w:p>
    <w:p>
      <w:pPr>
        <w:pStyle w:val="Heading2"/>
      </w:pPr>
      <w:r>
        <w:t>里程碑的判定與縮減方式</w:t>
      </w:r>
    </w:p>
    <w:p>
      <w:r>
        <w:t>G1 必須使用部署網址、真實模型呼叫及非寫死輸入，顯示可回查的來源。若 PDF 解析成為主要阻塞，先讓貼上文字與任務清單完成相同流程，明確標示支持的輸入格式。</w:t>
      </w:r>
    </w:p>
    <w:p>
      <w:r>
        <w:t>G2 必須通過跨專案存取、過期提案、重複操作與持久化測試。未達成時，取消外部串接及其他擴充，保留緩衝修正核心流程。</w:t>
      </w:r>
    </w:p>
    <w:p>
      <w:r>
        <w:t>G3 固定模型、提示詞與程式版本，執行保留組。品質或效率未達目標時，修正可重現錯誤並如實呈現限制；不能將目標值填入結果頁。若修正會污染保留組，依第 08 節重新建立評估範圍。</w:t>
      </w:r>
    </w:p>
    <w:p>
      <w:r>
        <w:t>G4 需由另一位成員用不同裝置完成一次展示操作，確認原始碼、部署及材料對應同一版本，並保存提交回執。9 月 30 日至官方截止前預留為主辦方要求修正或交件異常處理的時間。</w:t>
      </w:r>
    </w:p>
    <w:p>
      <w:pPr>
        <w:pStyle w:val="Heading1"/>
      </w:pPr>
      <w:r>
        <w:t>11 上雲與評審期運作</w:t>
      </w:r>
    </w:p>
    <w:p>
      <w:r>
        <w:t>第一週即完成最小雲端部署。開發測試與評審展示使用分開的資料範圍與設定，避免測試清理影響評審。兩人團隊可先使用同一專案中的不同服務與資源命名；若權限或資料隔離需求增加，再拆分 Google Cloud 專案。</w:t>
      </w:r>
    </w:p>
    <w:p>
      <w:r>
        <w:t>部署使用可識別的映像與版本，記錄 commit、模型、提示詞、部署時間、設定名稱及測試結果。應用使用平台提供的 HTTPS 網址即可；自訂網域不列為必要工作。原型需要完整運作，但三週不承諾正式商用服務等級。</w:t>
      </w:r>
    </w:p>
    <w:p>
      <w:pPr>
        <w:pStyle w:val="Heading2"/>
      </w:pPr>
      <w:r>
        <w:t>部署後檢查</w:t>
      </w:r>
    </w:p>
    <w:p>
      <w:pPr>
        <w:ind w:left="331" w:hanging="331"/>
      </w:pPr>
      <w:r>
        <w:t>1. 從不同裝置進入展示網址，完成登入或展示空間建立。</w:t>
      </w:r>
    </w:p>
    <w:p>
      <w:pPr>
        <w:ind w:left="331" w:hanging="331"/>
      </w:pPr>
      <w:r>
        <w:t>2. 執行固定合成案例與另一個陌生案例，驗證來源、差異及更新結果。</w:t>
      </w:r>
    </w:p>
    <w:p>
      <w:pPr>
        <w:ind w:left="331" w:hanging="331"/>
      </w:pPr>
      <w:r>
        <w:t>3. 重新整理並重新登入，確認任務與紀錄仍一致。</w:t>
      </w:r>
    </w:p>
    <w:p>
      <w:pPr>
        <w:ind w:left="331" w:hanging="331"/>
      </w:pPr>
      <w:r>
        <w:t>4. 執行未授權及過期提案測試，確認拒絕結果。</w:t>
      </w:r>
    </w:p>
    <w:p>
      <w:pPr>
        <w:ind w:left="331" w:hanging="331"/>
      </w:pPr>
      <w:r>
        <w:t>5. 檢查日誌不含原始私有文件、token 或憑證。</w:t>
      </w:r>
    </w:p>
    <w:p>
      <w:pPr>
        <w:ind w:left="331" w:hanging="331"/>
      </w:pPr>
      <w:r>
        <w:t>6. 保留上一個通過驗收的 Cloud Run 版本及恢復操作說明。</w:t>
      </w:r>
    </w:p>
    <w:p>
      <w:r>
        <w:t>評審展示規劃維持至 11 月 6 日，並由隊長確認主辦方是否要求更長期間。A 負責可用性、模型配額與成本，B 負責展示資料、文件連結與評審使用說明。未經溝通不改變提交版的主要行為；必要修正記錄版本及原因。</w:t>
      </w:r>
    </w:p>
    <w:p>
      <w:r>
        <w:t>服務異常時先確認平台、模型及應用哪一層失敗。程式更新造成的問題可恢復已驗收版本；資料相容性要一起檢查。模型故障時顯示明確狀態與稍後重試，錄影可作輔助展示，但不將預先產生的結果冒充即時成功。</w:t>
      </w:r>
    </w:p>
    <w:p>
      <w:pPr>
        <w:pStyle w:val="Heading1"/>
      </w:pPr>
      <w:r>
        <w:t>12 預算與成本控制</w:t>
      </w:r>
    </w:p>
    <w:p>
      <w:r>
        <w:t>雲端與展示預算先配置 US$200，涵蓋開發開始至預計評審結束的低流量使用。這是管理額度，不是供應商報價、費用保證或已取得的贊助；不含兩人的人力、設備及決賽額外旅費。實際帳單依服務、地區、用量及帳戶條件計算。</w:t>
      </w:r>
      <w:hyperlink r:id="rId21">
        <w:r>
          <w:rPr>
            <w:rFonts w:ascii="Arial" w:hAnsi="Arial" w:eastAsia="Heiti TC"/>
            <w:color w:val="235B7A"/>
            <w:u w:val="single"/>
          </w:rPr>
          <w:t>Cloud Run 計價參考</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952"/>
        <w:gridCol w:w="1627"/>
        <w:gridCol w:w="5587"/>
      </w:tblGrid>
      <w:tr>
        <w:trPr>
          <w:cantSplit/>
          <w:tblHeader/>
        </w:trPr>
        <w:tc>
          <w:tcPr>
            <w:tcW w:type="dxa" w:w="2952"/>
            <w:vAlign w:val="center"/>
            <w:shd w:fill="173B55"/>
          </w:tcPr>
          <w:p>
            <w:pPr>
              <w:keepNext/>
              <w:spacing w:before="0" w:after="0" w:line="283" w:lineRule="auto"/>
              <w:jc w:val="left"/>
            </w:pPr>
            <w:r>
              <w:rPr>
                <w:b/>
                <w:color w:val="FFFFFF"/>
                <w:sz w:val="20"/>
              </w:rPr>
              <w:t>項目</w:t>
            </w:r>
          </w:p>
        </w:tc>
        <w:tc>
          <w:tcPr>
            <w:tcW w:type="dxa" w:w="1627"/>
            <w:vAlign w:val="center"/>
            <w:shd w:fill="173B55"/>
          </w:tcPr>
          <w:p>
            <w:pPr>
              <w:keepNext/>
              <w:spacing w:before="0" w:after="0" w:line="283" w:lineRule="auto"/>
              <w:jc w:val="center"/>
            </w:pPr>
            <w:r>
              <w:rPr>
                <w:b/>
                <w:color w:val="FFFFFF"/>
                <w:sz w:val="20"/>
              </w:rPr>
              <w:t>規劃額度 USD</w:t>
            </w:r>
          </w:p>
        </w:tc>
        <w:tc>
          <w:tcPr>
            <w:tcW w:type="dxa" w:w="5587"/>
            <w:vAlign w:val="center"/>
            <w:shd w:fill="173B55"/>
          </w:tcPr>
          <w:p>
            <w:pPr>
              <w:keepNext/>
              <w:spacing w:before="0" w:after="0" w:line="283" w:lineRule="auto"/>
              <w:jc w:val="left"/>
            </w:pPr>
            <w:r>
              <w:rPr>
                <w:b/>
                <w:color w:val="FFFFFF"/>
                <w:sz w:val="20"/>
              </w:rPr>
              <w:t>使用方式</w:t>
            </w:r>
          </w:p>
        </w:tc>
      </w:tr>
      <w:tr>
        <w:trPr>
          <w:cantSplit/>
        </w:trPr>
        <w:tc>
          <w:tcPr>
            <w:tcW w:type="dxa" w:w="2952"/>
            <w:vAlign w:val="center"/>
            <w:shd w:fill="F3F6F8"/>
          </w:tcPr>
          <w:p>
            <w:pPr>
              <w:keepNext w:val="0"/>
              <w:spacing w:before="0" w:after="0" w:line="283" w:lineRule="auto"/>
              <w:jc w:val="left"/>
            </w:pPr>
            <w:r>
              <w:rPr>
                <w:sz w:val="20"/>
              </w:rPr>
              <w:t>Gemini 開發與評估</w:t>
            </w:r>
          </w:p>
        </w:tc>
        <w:tc>
          <w:tcPr>
            <w:tcW w:type="dxa" w:w="1627"/>
            <w:vAlign w:val="center"/>
            <w:shd w:fill="F3F6F8"/>
          </w:tcPr>
          <w:p>
            <w:pPr>
              <w:keepNext w:val="0"/>
              <w:spacing w:before="0" w:after="0" w:line="283" w:lineRule="auto"/>
              <w:jc w:val="center"/>
            </w:pPr>
            <w:r>
              <w:rPr>
                <w:sz w:val="20"/>
              </w:rPr>
              <w:t>70</w:t>
            </w:r>
          </w:p>
        </w:tc>
        <w:tc>
          <w:tcPr>
            <w:tcW w:type="dxa" w:w="5587"/>
            <w:vAlign w:val="center"/>
            <w:shd w:fill="F3F6F8"/>
          </w:tcPr>
          <w:p>
            <w:pPr>
              <w:keepNext w:val="0"/>
              <w:spacing w:before="0" w:after="0" w:line="283" w:lineRule="auto"/>
              <w:jc w:val="left"/>
            </w:pPr>
            <w:r>
              <w:rPr>
                <w:sz w:val="20"/>
              </w:rPr>
              <w:t>模型比較、案例重跑與展示分析</w:t>
            </w:r>
          </w:p>
        </w:tc>
      </w:tr>
      <w:tr>
        <w:trPr>
          <w:cantSplit/>
        </w:trPr>
        <w:tc>
          <w:tcPr>
            <w:tcW w:type="dxa" w:w="2952"/>
            <w:vAlign w:val="center"/>
            <w:shd w:fill="FFFFFF"/>
          </w:tcPr>
          <w:p>
            <w:pPr>
              <w:keepNext w:val="0"/>
              <w:spacing w:before="0" w:after="0" w:line="283" w:lineRule="auto"/>
              <w:jc w:val="left"/>
            </w:pPr>
            <w:r>
              <w:rPr>
                <w:sz w:val="20"/>
              </w:rPr>
              <w:t>Cloud Run 與建置映像</w:t>
            </w:r>
          </w:p>
        </w:tc>
        <w:tc>
          <w:tcPr>
            <w:tcW w:type="dxa" w:w="1627"/>
            <w:vAlign w:val="center"/>
            <w:shd w:fill="FFFFFF"/>
          </w:tcPr>
          <w:p>
            <w:pPr>
              <w:keepNext w:val="0"/>
              <w:spacing w:before="0" w:after="0" w:line="283" w:lineRule="auto"/>
              <w:jc w:val="center"/>
            </w:pPr>
            <w:r>
              <w:rPr>
                <w:sz w:val="20"/>
              </w:rPr>
              <w:t>30</w:t>
            </w:r>
          </w:p>
        </w:tc>
        <w:tc>
          <w:tcPr>
            <w:tcW w:type="dxa" w:w="5587"/>
            <w:vAlign w:val="center"/>
            <w:shd w:fill="FFFFFF"/>
          </w:tcPr>
          <w:p>
            <w:pPr>
              <w:keepNext w:val="0"/>
              <w:spacing w:before="0" w:after="0" w:line="283" w:lineRule="auto"/>
              <w:jc w:val="left"/>
            </w:pPr>
            <w:r>
              <w:rPr>
                <w:sz w:val="20"/>
              </w:rPr>
              <w:t>原型運算、建置與映像保存</w:t>
            </w:r>
          </w:p>
        </w:tc>
      </w:tr>
      <w:tr>
        <w:trPr>
          <w:cantSplit/>
        </w:trPr>
        <w:tc>
          <w:tcPr>
            <w:tcW w:type="dxa" w:w="2952"/>
            <w:vAlign w:val="center"/>
            <w:shd w:fill="F3F6F8"/>
          </w:tcPr>
          <w:p>
            <w:pPr>
              <w:keepNext w:val="0"/>
              <w:spacing w:before="0" w:after="0" w:line="283" w:lineRule="auto"/>
              <w:jc w:val="left"/>
            </w:pPr>
            <w:r>
              <w:rPr>
                <w:sz w:val="20"/>
              </w:rPr>
              <w:t>資料儲存與日誌等</w:t>
            </w:r>
          </w:p>
        </w:tc>
        <w:tc>
          <w:tcPr>
            <w:tcW w:type="dxa" w:w="1627"/>
            <w:vAlign w:val="center"/>
            <w:shd w:fill="F3F6F8"/>
          </w:tcPr>
          <w:p>
            <w:pPr>
              <w:keepNext w:val="0"/>
              <w:spacing w:before="0" w:after="0" w:line="283" w:lineRule="auto"/>
              <w:jc w:val="center"/>
            </w:pPr>
            <w:r>
              <w:rPr>
                <w:sz w:val="20"/>
              </w:rPr>
              <w:t>20</w:t>
            </w:r>
          </w:p>
        </w:tc>
        <w:tc>
          <w:tcPr>
            <w:tcW w:type="dxa" w:w="5587"/>
            <w:vAlign w:val="center"/>
            <w:shd w:fill="F3F6F8"/>
          </w:tcPr>
          <w:p>
            <w:pPr>
              <w:keepNext w:val="0"/>
              <w:spacing w:before="0" w:after="0" w:line="283" w:lineRule="auto"/>
              <w:jc w:val="left"/>
            </w:pPr>
            <w:r>
              <w:rPr>
                <w:sz w:val="20"/>
              </w:rPr>
              <w:t>文件、Firestore、必要日誌及相關用量</w:t>
            </w:r>
          </w:p>
        </w:tc>
      </w:tr>
      <w:tr>
        <w:trPr>
          <w:cantSplit/>
        </w:trPr>
        <w:tc>
          <w:tcPr>
            <w:tcW w:type="dxa" w:w="2952"/>
            <w:vAlign w:val="center"/>
            <w:shd w:fill="FFFFFF"/>
          </w:tcPr>
          <w:p>
            <w:pPr>
              <w:keepNext w:val="0"/>
              <w:spacing w:before="0" w:after="0" w:line="283" w:lineRule="auto"/>
              <w:jc w:val="left"/>
            </w:pPr>
            <w:r>
              <w:rPr>
                <w:sz w:val="20"/>
              </w:rPr>
              <w:t>雲端預備金</w:t>
            </w:r>
          </w:p>
        </w:tc>
        <w:tc>
          <w:tcPr>
            <w:tcW w:type="dxa" w:w="1627"/>
            <w:vAlign w:val="center"/>
            <w:shd w:fill="FFFFFF"/>
          </w:tcPr>
          <w:p>
            <w:pPr>
              <w:keepNext w:val="0"/>
              <w:spacing w:before="0" w:after="0" w:line="283" w:lineRule="auto"/>
              <w:jc w:val="center"/>
            </w:pPr>
            <w:r>
              <w:rPr>
                <w:sz w:val="20"/>
              </w:rPr>
              <w:t>80</w:t>
            </w:r>
          </w:p>
        </w:tc>
        <w:tc>
          <w:tcPr>
            <w:tcW w:type="dxa" w:w="5587"/>
            <w:vAlign w:val="center"/>
            <w:shd w:fill="FFFFFF"/>
          </w:tcPr>
          <w:p>
            <w:pPr>
              <w:keepNext w:val="0"/>
              <w:spacing w:before="0" w:after="0" w:line="283" w:lineRule="auto"/>
              <w:jc w:val="left"/>
            </w:pPr>
            <w:r>
              <w:rPr>
                <w:sz w:val="20"/>
              </w:rPr>
              <w:t>配額調整、額外測試及評審期流量</w:t>
            </w:r>
          </w:p>
        </w:tc>
      </w:tr>
      <w:tr>
        <w:trPr>
          <w:cantSplit/>
        </w:trPr>
        <w:tc>
          <w:tcPr>
            <w:tcW w:type="dxa" w:w="2952"/>
            <w:vAlign w:val="center"/>
            <w:shd w:fill="F3F6F8"/>
          </w:tcPr>
          <w:p>
            <w:pPr>
              <w:keepNext w:val="0"/>
              <w:spacing w:before="0" w:after="0" w:line="283" w:lineRule="auto"/>
              <w:jc w:val="left"/>
            </w:pPr>
            <w:r>
              <w:rPr>
                <w:sz w:val="20"/>
              </w:rPr>
              <w:t>合計</w:t>
            </w:r>
          </w:p>
        </w:tc>
        <w:tc>
          <w:tcPr>
            <w:tcW w:type="dxa" w:w="1627"/>
            <w:vAlign w:val="center"/>
            <w:shd w:fill="F3F6F8"/>
          </w:tcPr>
          <w:p>
            <w:pPr>
              <w:keepNext w:val="0"/>
              <w:spacing w:before="0" w:after="0" w:line="283" w:lineRule="auto"/>
              <w:jc w:val="center"/>
            </w:pPr>
            <w:r>
              <w:rPr>
                <w:sz w:val="20"/>
              </w:rPr>
              <w:t>200</w:t>
            </w:r>
          </w:p>
        </w:tc>
        <w:tc>
          <w:tcPr>
            <w:tcW w:type="dxa" w:w="5587"/>
            <w:vAlign w:val="center"/>
            <w:shd w:fill="F3F6F8"/>
          </w:tcPr>
          <w:p>
            <w:pPr>
              <w:keepNext w:val="0"/>
              <w:spacing w:before="0" w:after="0" w:line="283" w:lineRule="auto"/>
              <w:jc w:val="left"/>
            </w:pPr>
            <w:r>
              <w:rPr>
                <w:sz w:val="20"/>
              </w:rPr>
              <w:t>第一次實測後調整分配</w:t>
            </w:r>
          </w:p>
        </w:tc>
      </w:tr>
    </w:tbl>
    <w:p>
      <w:pPr>
        <w:spacing w:after="60" w:before="0" w:line="240" w:lineRule="auto"/>
      </w:pPr>
      <w:r>
        <w:rPr>
          <w:sz w:val="6"/>
        </w:rPr>
      </w:r>
    </w:p>
    <w:p>
      <w:r>
        <w:t>第一週以至少 20 次代表性分析記錄所有模型呼叫的輸入與輸出 token、重試、耗時及估算費用，使用當日官方價格計算每案成本。預估總額為開發與評估案數乘以每案平均成本，再加部署、儲存、網路及日誌，另外保留預備金。</w:t>
      </w:r>
    </w:p>
    <w:p>
      <w:r>
        <w:t>初期正常分析最多三次模型呼叫，全流程額外最多一次受控重試，每案總上限四次。展示空間設定每小時與每日請求上限，超過時保留查看既有結果的能力。快取必須綁定來源版本與提示詞版本，不能拿舊分析回應新的資料。</w:t>
      </w:r>
    </w:p>
    <w:p>
      <w:r>
        <w:t>設定 50%、80% 與 100% 成本告警。僅告警的 budget 不會自動限制支出；若採 spend cap，需確認所用服務與預覽功能的適用性，並搭配應用限流及平台配額。</w:t>
      </w:r>
      <w:hyperlink r:id="rId22">
        <w:r>
          <w:rPr>
            <w:rFonts w:ascii="Arial" w:hAnsi="Arial" w:eastAsia="Heiti TC"/>
            <w:color w:val="235B7A"/>
            <w:u w:val="single"/>
          </w:rPr>
          <w:t>Google Cloud 預算文件</w:t>
        </w:r>
      </w:hyperlink>
    </w:p>
    <w:p>
      <w:r>
        <w:t>實測總額若預估超出 US$200，由隊長選擇調整展示用量或增加預算，保留核心測試所需額度。Cloud credits 的取得狀況由隊長確認，計劃不預先扣除未取得的抵用額度。</w:t>
      </w:r>
    </w:p>
    <w:p>
      <w:pPr>
        <w:pStyle w:val="Heading1"/>
      </w:pPr>
      <w:r>
        <w:t>13 風險與待確認事項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1584"/>
        <w:gridCol w:w="2736"/>
        <w:gridCol w:w="4766"/>
        <w:gridCol w:w="1080"/>
      </w:tblGrid>
      <w:tr>
        <w:trPr>
          <w:cantSplit/>
          <w:tblHeader/>
        </w:trPr>
        <w:tc>
          <w:tcPr>
            <w:tcW w:type="dxa" w:w="1584"/>
            <w:vAlign w:val="center"/>
            <w:shd w:fill="173B55"/>
          </w:tcPr>
          <w:p>
            <w:pPr>
              <w:keepNext/>
              <w:spacing w:before="0" w:after="0" w:line="283" w:lineRule="auto"/>
              <w:jc w:val="left"/>
            </w:pPr>
            <w:r>
              <w:rPr>
                <w:b/>
                <w:color w:val="FFFFFF"/>
                <w:sz w:val="20"/>
              </w:rPr>
              <w:t>風險或問題</w:t>
            </w:r>
          </w:p>
        </w:tc>
        <w:tc>
          <w:tcPr>
            <w:tcW w:type="dxa" w:w="2736"/>
            <w:vAlign w:val="center"/>
            <w:shd w:fill="173B55"/>
          </w:tcPr>
          <w:p>
            <w:pPr>
              <w:keepNext/>
              <w:spacing w:before="0" w:after="0" w:line="283" w:lineRule="auto"/>
              <w:jc w:val="left"/>
            </w:pPr>
            <w:r>
              <w:rPr>
                <w:b/>
                <w:color w:val="FFFFFF"/>
                <w:sz w:val="20"/>
              </w:rPr>
              <w:t>觸發條件</w:t>
            </w:r>
          </w:p>
        </w:tc>
        <w:tc>
          <w:tcPr>
            <w:tcW w:type="dxa" w:w="4766"/>
            <w:vAlign w:val="center"/>
            <w:shd w:fill="173B55"/>
          </w:tcPr>
          <w:p>
            <w:pPr>
              <w:keepNext/>
              <w:spacing w:before="0" w:after="0" w:line="283" w:lineRule="auto"/>
              <w:jc w:val="left"/>
            </w:pPr>
            <w:r>
              <w:rPr>
                <w:b/>
                <w:color w:val="FFFFFF"/>
                <w:sz w:val="20"/>
              </w:rPr>
              <w:t>處理方式</w:t>
            </w:r>
          </w:p>
        </w:tc>
        <w:tc>
          <w:tcPr>
            <w:tcW w:type="dxa" w:w="1080"/>
            <w:vAlign w:val="center"/>
            <w:shd w:fill="173B55"/>
          </w:tcPr>
          <w:p>
            <w:pPr>
              <w:keepNext/>
              <w:spacing w:before="0" w:after="0" w:line="283" w:lineRule="auto"/>
              <w:jc w:val="center"/>
            </w:pPr>
            <w:r>
              <w:rPr>
                <w:b/>
                <w:color w:val="FFFFFF"/>
                <w:sz w:val="20"/>
              </w:rPr>
              <w:t>負責</w:t>
            </w:r>
          </w:p>
        </w:tc>
      </w:tr>
      <w:tr>
        <w:trPr>
          <w:cantSplit/>
        </w:trPr>
        <w:tc>
          <w:tcPr>
            <w:tcW w:type="dxa" w:w="1584"/>
            <w:vAlign w:val="center"/>
            <w:shd w:fill="F3F6F8"/>
          </w:tcPr>
          <w:p>
            <w:pPr>
              <w:keepNext w:val="0"/>
              <w:spacing w:before="0" w:after="0" w:line="283" w:lineRule="auto"/>
              <w:jc w:val="left"/>
            </w:pPr>
            <w:r>
              <w:rPr>
                <w:sz w:val="20"/>
              </w:rPr>
              <w:t>需求不成立</w:t>
            </w:r>
          </w:p>
        </w:tc>
        <w:tc>
          <w:tcPr>
            <w:tcW w:type="dxa" w:w="2736"/>
            <w:vAlign w:val="center"/>
            <w:shd w:fill="F3F6F8"/>
          </w:tcPr>
          <w:p>
            <w:pPr>
              <w:keepNext w:val="0"/>
              <w:spacing w:before="0" w:after="0" w:line="283" w:lineRule="auto"/>
              <w:jc w:val="left"/>
            </w:pPr>
            <w:r>
              <w:rPr>
                <w:sz w:val="20"/>
              </w:rPr>
              <w:t>訪談無反覆痛點或試用意願</w:t>
            </w:r>
          </w:p>
        </w:tc>
        <w:tc>
          <w:tcPr>
            <w:tcW w:type="dxa" w:w="4766"/>
            <w:vAlign w:val="center"/>
            <w:shd w:fill="F3F6F8"/>
          </w:tcPr>
          <w:p>
            <w:pPr>
              <w:keepNext w:val="0"/>
              <w:spacing w:before="0" w:after="0" w:line="283" w:lineRule="auto"/>
              <w:jc w:val="left"/>
            </w:pPr>
            <w:r>
              <w:rPr>
                <w:sz w:val="20"/>
              </w:rPr>
              <w:t>第三天前改用更熟悉的交接場景</w:t>
            </w:r>
          </w:p>
        </w:tc>
        <w:tc>
          <w:tcPr>
            <w:tcW w:type="dxa" w:w="1080"/>
            <w:vAlign w:val="center"/>
            <w:shd w:fill="F3F6F8"/>
          </w:tcPr>
          <w:p>
            <w:pPr>
              <w:keepNext w:val="0"/>
              <w:spacing w:before="0" w:after="0" w:line="283" w:lineRule="auto"/>
              <w:jc w:val="center"/>
            </w:pPr>
            <w:r>
              <w:rPr>
                <w:sz w:val="20"/>
              </w:rPr>
              <w:t>B 主責</w:t>
            </w:r>
          </w:p>
        </w:tc>
      </w:tr>
      <w:tr>
        <w:trPr>
          <w:cantSplit/>
        </w:trPr>
        <w:tc>
          <w:tcPr>
            <w:tcW w:type="dxa" w:w="1584"/>
            <w:vAlign w:val="center"/>
            <w:shd w:fill="FFFFFF"/>
          </w:tcPr>
          <w:p>
            <w:pPr>
              <w:keepNext w:val="0"/>
              <w:spacing w:before="0" w:after="0" w:line="283" w:lineRule="auto"/>
              <w:jc w:val="left"/>
            </w:pPr>
            <w:r>
              <w:rPr>
                <w:sz w:val="20"/>
              </w:rPr>
              <w:t>工時不足</w:t>
            </w:r>
          </w:p>
        </w:tc>
        <w:tc>
          <w:tcPr>
            <w:tcW w:type="dxa" w:w="2736"/>
            <w:vAlign w:val="center"/>
            <w:shd w:fill="FFFFFF"/>
          </w:tcPr>
          <w:p>
            <w:pPr>
              <w:keepNext w:val="0"/>
              <w:spacing w:before="0" w:after="0" w:line="283" w:lineRule="auto"/>
              <w:jc w:val="left"/>
            </w:pPr>
            <w:r>
              <w:rPr>
                <w:sz w:val="20"/>
              </w:rPr>
              <w:t>估算剩餘工作超過容量</w:t>
            </w:r>
          </w:p>
        </w:tc>
        <w:tc>
          <w:tcPr>
            <w:tcW w:type="dxa" w:w="4766"/>
            <w:vAlign w:val="center"/>
            <w:shd w:fill="FFFFFF"/>
          </w:tcPr>
          <w:p>
            <w:pPr>
              <w:keepNext w:val="0"/>
              <w:spacing w:before="0" w:after="0" w:line="283" w:lineRule="auto"/>
              <w:jc w:val="left"/>
            </w:pPr>
            <w:r>
              <w:rPr>
                <w:sz w:val="20"/>
              </w:rPr>
              <w:t>縮減格式與擴充，保留完整核心流程</w:t>
            </w:r>
          </w:p>
        </w:tc>
        <w:tc>
          <w:tcPr>
            <w:tcW w:type="dxa" w:w="1080"/>
            <w:vAlign w:val="center"/>
            <w:shd w:fill="FFFFFF"/>
          </w:tcPr>
          <w:p>
            <w:pPr>
              <w:keepNext w:val="0"/>
              <w:spacing w:before="0" w:after="0" w:line="283" w:lineRule="auto"/>
              <w:jc w:val="center"/>
            </w:pPr>
            <w:r>
              <w:rPr>
                <w:sz w:val="20"/>
              </w:rPr>
              <w:t>共同</w:t>
            </w:r>
          </w:p>
        </w:tc>
      </w:tr>
      <w:tr>
        <w:trPr>
          <w:cantSplit/>
        </w:trPr>
        <w:tc>
          <w:tcPr>
            <w:tcW w:type="dxa" w:w="1584"/>
            <w:vAlign w:val="center"/>
            <w:shd w:fill="F3F6F8"/>
          </w:tcPr>
          <w:p>
            <w:pPr>
              <w:keepNext w:val="0"/>
              <w:spacing w:before="0" w:after="0" w:line="283" w:lineRule="auto"/>
              <w:jc w:val="left"/>
            </w:pPr>
            <w:r>
              <w:rPr>
                <w:sz w:val="20"/>
              </w:rPr>
              <w:t>模型誤判</w:t>
            </w:r>
          </w:p>
        </w:tc>
        <w:tc>
          <w:tcPr>
            <w:tcW w:type="dxa" w:w="2736"/>
            <w:vAlign w:val="center"/>
            <w:shd w:fill="F3F6F8"/>
          </w:tcPr>
          <w:p>
            <w:pPr>
              <w:keepNext w:val="0"/>
              <w:spacing w:before="0" w:after="0" w:line="283" w:lineRule="auto"/>
              <w:jc w:val="left"/>
            </w:pPr>
            <w:r>
              <w:rPr>
                <w:sz w:val="20"/>
              </w:rPr>
              <w:t>來源不支持結論或重大漏報</w:t>
            </w:r>
          </w:p>
        </w:tc>
        <w:tc>
          <w:tcPr>
            <w:tcW w:type="dxa" w:w="4766"/>
            <w:vAlign w:val="center"/>
            <w:shd w:fill="F3F6F8"/>
          </w:tcPr>
          <w:p>
            <w:pPr>
              <w:keepNext w:val="0"/>
              <w:spacing w:before="0" w:after="0" w:line="283" w:lineRule="auto"/>
              <w:jc w:val="left"/>
            </w:pPr>
            <w:r>
              <w:rPr>
                <w:sz w:val="20"/>
              </w:rPr>
              <w:t>保留待確認、補反例、重新評估</w:t>
            </w:r>
          </w:p>
        </w:tc>
        <w:tc>
          <w:tcPr>
            <w:tcW w:type="dxa" w:w="1080"/>
            <w:vAlign w:val="center"/>
            <w:shd w:fill="F3F6F8"/>
          </w:tcPr>
          <w:p>
            <w:pPr>
              <w:keepNext w:val="0"/>
              <w:spacing w:before="0" w:after="0" w:line="283" w:lineRule="auto"/>
              <w:jc w:val="center"/>
            </w:pPr>
            <w:r>
              <w:rPr>
                <w:sz w:val="20"/>
              </w:rPr>
              <w:t>A 主責</w:t>
            </w:r>
          </w:p>
        </w:tc>
      </w:tr>
      <w:tr>
        <w:trPr>
          <w:cantSplit/>
        </w:trPr>
        <w:tc>
          <w:tcPr>
            <w:tcW w:type="dxa" w:w="1584"/>
            <w:vAlign w:val="center"/>
            <w:shd w:fill="FFFFFF"/>
          </w:tcPr>
          <w:p>
            <w:pPr>
              <w:keepNext w:val="0"/>
              <w:spacing w:before="0" w:after="0" w:line="283" w:lineRule="auto"/>
              <w:jc w:val="left"/>
            </w:pPr>
            <w:r>
              <w:rPr>
                <w:sz w:val="20"/>
              </w:rPr>
              <w:t>雲端或模型不可用</w:t>
            </w:r>
          </w:p>
        </w:tc>
        <w:tc>
          <w:tcPr>
            <w:tcW w:type="dxa" w:w="2736"/>
            <w:vAlign w:val="center"/>
            <w:shd w:fill="FFFFFF"/>
          </w:tcPr>
          <w:p>
            <w:pPr>
              <w:keepNext w:val="0"/>
              <w:spacing w:before="0" w:after="0" w:line="283" w:lineRule="auto"/>
              <w:jc w:val="left"/>
            </w:pPr>
            <w:r>
              <w:rPr>
                <w:sz w:val="20"/>
              </w:rPr>
              <w:t>帳單、地區或配額阻塞</w:t>
            </w:r>
          </w:p>
        </w:tc>
        <w:tc>
          <w:tcPr>
            <w:tcW w:type="dxa" w:w="4766"/>
            <w:vAlign w:val="center"/>
            <w:shd w:fill="FFFFFF"/>
          </w:tcPr>
          <w:p>
            <w:pPr>
              <w:keepNext w:val="0"/>
              <w:spacing w:before="0" w:after="0" w:line="283" w:lineRule="auto"/>
              <w:jc w:val="left"/>
            </w:pPr>
            <w:r>
              <w:rPr>
                <w:sz w:val="20"/>
              </w:rPr>
              <w:t>第一週先驗證，必要時選可用穩定模型</w:t>
            </w:r>
          </w:p>
        </w:tc>
        <w:tc>
          <w:tcPr>
            <w:tcW w:type="dxa" w:w="1080"/>
            <w:vAlign w:val="center"/>
            <w:shd w:fill="FFFFFF"/>
          </w:tcPr>
          <w:p>
            <w:pPr>
              <w:keepNext w:val="0"/>
              <w:spacing w:before="0" w:after="0" w:line="283" w:lineRule="auto"/>
              <w:jc w:val="center"/>
            </w:pPr>
            <w:r>
              <w:rPr>
                <w:sz w:val="20"/>
              </w:rPr>
              <w:t>A 主責</w:t>
            </w:r>
          </w:p>
        </w:tc>
      </w:tr>
      <w:tr>
        <w:trPr>
          <w:cantSplit/>
        </w:trPr>
        <w:tc>
          <w:tcPr>
            <w:tcW w:type="dxa" w:w="1584"/>
            <w:vAlign w:val="center"/>
            <w:shd w:fill="F3F6F8"/>
          </w:tcPr>
          <w:p>
            <w:pPr>
              <w:keepNext w:val="0"/>
              <w:spacing w:before="0" w:after="0" w:line="283" w:lineRule="auto"/>
              <w:jc w:val="left"/>
            </w:pPr>
            <w:r>
              <w:rPr>
                <w:sz w:val="20"/>
              </w:rPr>
              <w:t>資料或權限問題</w:t>
            </w:r>
          </w:p>
        </w:tc>
        <w:tc>
          <w:tcPr>
            <w:tcW w:type="dxa" w:w="2736"/>
            <w:vAlign w:val="center"/>
            <w:shd w:fill="F3F6F8"/>
          </w:tcPr>
          <w:p>
            <w:pPr>
              <w:keepNext w:val="0"/>
              <w:spacing w:before="0" w:after="0" w:line="283" w:lineRule="auto"/>
              <w:jc w:val="left"/>
            </w:pPr>
            <w:r>
              <w:rPr>
                <w:sz w:val="20"/>
              </w:rPr>
              <w:t>未授權存取、機密進公開材料</w:t>
            </w:r>
          </w:p>
        </w:tc>
        <w:tc>
          <w:tcPr>
            <w:tcW w:type="dxa" w:w="4766"/>
            <w:vAlign w:val="center"/>
            <w:shd w:fill="F3F6F8"/>
          </w:tcPr>
          <w:p>
            <w:pPr>
              <w:keepNext w:val="0"/>
              <w:spacing w:before="0" w:after="0" w:line="283" w:lineRule="auto"/>
              <w:jc w:val="left"/>
            </w:pPr>
            <w:r>
              <w:rPr>
                <w:sz w:val="20"/>
              </w:rPr>
              <w:t>停止受影響入口，修正並重測</w:t>
            </w:r>
          </w:p>
        </w:tc>
        <w:tc>
          <w:tcPr>
            <w:tcW w:type="dxa" w:w="1080"/>
            <w:vAlign w:val="center"/>
            <w:shd w:fill="F3F6F8"/>
          </w:tcPr>
          <w:p>
            <w:pPr>
              <w:keepNext w:val="0"/>
              <w:spacing w:before="0" w:after="0" w:line="283" w:lineRule="auto"/>
              <w:jc w:val="center"/>
            </w:pPr>
            <w:r>
              <w:rPr>
                <w:sz w:val="20"/>
              </w:rPr>
              <w:t>A 主責</w:t>
            </w:r>
          </w:p>
        </w:tc>
      </w:tr>
      <w:tr>
        <w:trPr>
          <w:cantSplit/>
        </w:trPr>
        <w:tc>
          <w:tcPr>
            <w:tcW w:type="dxa" w:w="1584"/>
            <w:vAlign w:val="center"/>
            <w:shd w:fill="FFFFFF"/>
          </w:tcPr>
          <w:p>
            <w:pPr>
              <w:keepNext w:val="0"/>
              <w:spacing w:before="0" w:after="0" w:line="283" w:lineRule="auto"/>
              <w:jc w:val="left"/>
            </w:pPr>
            <w:r>
              <w:rPr>
                <w:sz w:val="20"/>
              </w:rPr>
              <w:t>交件不合規</w:t>
            </w:r>
          </w:p>
        </w:tc>
        <w:tc>
          <w:tcPr>
            <w:tcW w:type="dxa" w:w="2736"/>
            <w:vAlign w:val="center"/>
            <w:shd w:fill="FFFFFF"/>
          </w:tcPr>
          <w:p>
            <w:pPr>
              <w:keepNext w:val="0"/>
              <w:spacing w:before="0" w:after="0" w:line="283" w:lineRule="auto"/>
              <w:jc w:val="left"/>
            </w:pPr>
            <w:r>
              <w:rPr>
                <w:sz w:val="20"/>
              </w:rPr>
              <w:t>日期、語言或原始碼要求不符</w:t>
            </w:r>
          </w:p>
        </w:tc>
        <w:tc>
          <w:tcPr>
            <w:tcW w:type="dxa" w:w="4766"/>
            <w:vAlign w:val="center"/>
            <w:shd w:fill="FFFFFF"/>
          </w:tcPr>
          <w:p>
            <w:pPr>
              <w:keepNext w:val="0"/>
              <w:spacing w:before="0" w:after="0" w:line="283" w:lineRule="auto"/>
              <w:jc w:val="left"/>
            </w:pPr>
            <w:r>
              <w:rPr>
                <w:sz w:val="20"/>
              </w:rPr>
              <w:t>書面確認，依交件清單逐項核對</w:t>
            </w:r>
          </w:p>
        </w:tc>
        <w:tc>
          <w:tcPr>
            <w:tcW w:type="dxa" w:w="1080"/>
            <w:vAlign w:val="center"/>
            <w:shd w:fill="FFFFFF"/>
          </w:tcPr>
          <w:p>
            <w:pPr>
              <w:keepNext w:val="0"/>
              <w:spacing w:before="0" w:after="0" w:line="283" w:lineRule="auto"/>
              <w:jc w:val="center"/>
            </w:pPr>
            <w:r>
              <w:rPr>
                <w:sz w:val="20"/>
              </w:rPr>
              <w:t>隊長</w:t>
            </w:r>
          </w:p>
        </w:tc>
      </w:tr>
      <w:tr>
        <w:trPr>
          <w:cantSplit/>
        </w:trPr>
        <w:tc>
          <w:tcPr>
            <w:tcW w:type="dxa" w:w="1584"/>
            <w:vAlign w:val="center"/>
            <w:shd w:fill="F3F6F8"/>
          </w:tcPr>
          <w:p>
            <w:pPr>
              <w:keepNext w:val="0"/>
              <w:spacing w:before="0" w:after="0" w:line="283" w:lineRule="auto"/>
              <w:jc w:val="left"/>
            </w:pPr>
            <w:r>
              <w:rPr>
                <w:sz w:val="20"/>
              </w:rPr>
              <w:t>智財安排不適合</w:t>
            </w:r>
          </w:p>
        </w:tc>
        <w:tc>
          <w:tcPr>
            <w:tcW w:type="dxa" w:w="2736"/>
            <w:vAlign w:val="center"/>
            <w:shd w:fill="F3F6F8"/>
          </w:tcPr>
          <w:p>
            <w:pPr>
              <w:keepNext w:val="0"/>
              <w:spacing w:before="0" w:after="0" w:line="283" w:lineRule="auto"/>
              <w:jc w:val="left"/>
            </w:pPr>
            <w:r>
              <w:rPr>
                <w:sz w:val="20"/>
              </w:rPr>
              <w:t>主辦回覆影響後續商用</w:t>
            </w:r>
          </w:p>
        </w:tc>
        <w:tc>
          <w:tcPr>
            <w:tcW w:type="dxa" w:w="4766"/>
            <w:vAlign w:val="center"/>
            <w:shd w:fill="F3F6F8"/>
          </w:tcPr>
          <w:p>
            <w:pPr>
              <w:keepNext w:val="0"/>
              <w:spacing w:before="0" w:after="0" w:line="283" w:lineRule="auto"/>
              <w:jc w:val="left"/>
            </w:pPr>
            <w:r>
              <w:rPr>
                <w:sz w:val="20"/>
              </w:rPr>
              <w:t>調整提交範圍或重新評估參賽</w:t>
            </w:r>
          </w:p>
        </w:tc>
        <w:tc>
          <w:tcPr>
            <w:tcW w:type="dxa" w:w="1080"/>
            <w:vAlign w:val="center"/>
            <w:shd w:fill="F3F6F8"/>
          </w:tcPr>
          <w:p>
            <w:pPr>
              <w:keepNext w:val="0"/>
              <w:spacing w:before="0" w:after="0" w:line="283" w:lineRule="auto"/>
              <w:jc w:val="center"/>
            </w:pPr>
            <w:r>
              <w:rPr>
                <w:sz w:val="20"/>
              </w:rPr>
              <w:t>隊長</w:t>
            </w:r>
          </w:p>
        </w:tc>
      </w:tr>
      <w:tr>
        <w:trPr>
          <w:cantSplit/>
        </w:trPr>
        <w:tc>
          <w:tcPr>
            <w:tcW w:type="dxa" w:w="1584"/>
            <w:vAlign w:val="center"/>
            <w:shd w:fill="FFFFFF"/>
          </w:tcPr>
          <w:p>
            <w:pPr>
              <w:keepNext w:val="0"/>
              <w:spacing w:before="0" w:after="0" w:line="283" w:lineRule="auto"/>
              <w:jc w:val="left"/>
            </w:pPr>
            <w:r>
              <w:rPr>
                <w:sz w:val="20"/>
              </w:rPr>
              <w:t>展示失敗</w:t>
            </w:r>
          </w:p>
        </w:tc>
        <w:tc>
          <w:tcPr>
            <w:tcW w:type="dxa" w:w="2736"/>
            <w:vAlign w:val="center"/>
            <w:shd w:fill="FFFFFF"/>
          </w:tcPr>
          <w:p>
            <w:pPr>
              <w:keepNext w:val="0"/>
              <w:spacing w:before="0" w:after="0" w:line="283" w:lineRule="auto"/>
              <w:jc w:val="left"/>
            </w:pPr>
            <w:r>
              <w:rPr>
                <w:sz w:val="20"/>
              </w:rPr>
              <w:t>現場或評審期間服務不可用</w:t>
            </w:r>
          </w:p>
        </w:tc>
        <w:tc>
          <w:tcPr>
            <w:tcW w:type="dxa" w:w="4766"/>
            <w:vAlign w:val="center"/>
            <w:shd w:fill="FFFFFF"/>
          </w:tcPr>
          <w:p>
            <w:pPr>
              <w:keepNext w:val="0"/>
              <w:spacing w:before="0" w:after="0" w:line="283" w:lineRule="auto"/>
              <w:jc w:val="left"/>
            </w:pPr>
            <w:r>
              <w:rPr>
                <w:sz w:val="20"/>
              </w:rPr>
              <w:t>修復或回退，保留錄影與透明狀態</w:t>
            </w:r>
          </w:p>
        </w:tc>
        <w:tc>
          <w:tcPr>
            <w:tcW w:type="dxa" w:w="1080"/>
            <w:vAlign w:val="center"/>
            <w:shd w:fill="FFFFFF"/>
          </w:tcPr>
          <w:p>
            <w:pPr>
              <w:keepNext w:val="0"/>
              <w:spacing w:before="0" w:after="0" w:line="283" w:lineRule="auto"/>
              <w:jc w:val="center"/>
            </w:pPr>
            <w:r>
              <w:rPr>
                <w:sz w:val="20"/>
              </w:rPr>
              <w:t>A 主責</w:t>
            </w:r>
          </w:p>
        </w:tc>
      </w:tr>
    </w:tbl>
    <w:p>
      <w:pPr>
        <w:spacing w:after="60" w:before="0" w:line="240" w:lineRule="auto"/>
      </w:pPr>
      <w:r>
        <w:rPr>
          <w:sz w:val="6"/>
        </w:rPr>
      </w:r>
    </w:p>
    <w:p>
      <w:r>
        <w:t>應向主辦方確認的具體問題包括：最終截止日及時區、報名與團隊名單截止差異、全新程式碼規定對通用套件及樣板的範圍、智財優先權與公開授權的適用、展示登入方式、部署網址維持期限，以及 Cloud credits 是否提供。官方聯絡方式為 support+aibuildercup@hack2skill.com。</w:t>
      </w:r>
    </w:p>
    <w:p>
      <w:r>
        <w:t>由隊長記錄詢問日期、原始問題、書面回覆及其對計劃的影響。這份文件未替團隊完成報名、接受條款、開通付費資源或對外提交；相關行動由負責成員依實際決定執行。</w:t>
      </w:r>
    </w:p>
    <w:p>
      <w:pPr>
        <w:pStyle w:val="Heading1"/>
      </w:pPr>
      <w:r>
        <w:t>14 交件包與英文展示</w:t>
      </w:r>
    </w:p>
    <w:p>
      <w:r>
        <w:t>交件材料應對應同一個提交版本。原始碼與部署要能讓評審理解並重現，所有結果均附案例數、方法及限制。公開規則來源見第 02 節；以下是本計劃的交付清單。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2088"/>
        <w:gridCol w:w="6926"/>
        <w:gridCol w:w="1152"/>
      </w:tblGrid>
      <w:tr>
        <w:trPr>
          <w:cantSplit/>
          <w:tblHeader/>
        </w:trPr>
        <w:tc>
          <w:tcPr>
            <w:tcW w:type="dxa" w:w="2088"/>
            <w:vAlign w:val="center"/>
            <w:shd w:fill="173B55"/>
          </w:tcPr>
          <w:p>
            <w:pPr>
              <w:keepNext/>
              <w:spacing w:before="0" w:after="0" w:line="283" w:lineRule="auto"/>
              <w:jc w:val="left"/>
            </w:pPr>
            <w:r>
              <w:rPr>
                <w:b/>
                <w:color w:val="FFFFFF"/>
                <w:sz w:val="20"/>
              </w:rPr>
              <w:t>產物</w:t>
            </w:r>
          </w:p>
        </w:tc>
        <w:tc>
          <w:tcPr>
            <w:tcW w:type="dxa" w:w="6926"/>
            <w:vAlign w:val="center"/>
            <w:shd w:fill="173B55"/>
          </w:tcPr>
          <w:p>
            <w:pPr>
              <w:keepNext/>
              <w:spacing w:before="0" w:after="0" w:line="283" w:lineRule="auto"/>
              <w:jc w:val="left"/>
            </w:pPr>
            <w:r>
              <w:rPr>
                <w:b/>
                <w:color w:val="FFFFFF"/>
                <w:sz w:val="20"/>
              </w:rPr>
              <w:t>內容與檢查</w:t>
            </w:r>
          </w:p>
        </w:tc>
        <w:tc>
          <w:tcPr>
            <w:tcW w:type="dxa" w:w="1152"/>
            <w:vAlign w:val="center"/>
            <w:shd w:fill="173B55"/>
          </w:tcPr>
          <w:p>
            <w:pPr>
              <w:keepNext/>
              <w:spacing w:before="0" w:after="0" w:line="283" w:lineRule="auto"/>
              <w:jc w:val="center"/>
            </w:pPr>
            <w:r>
              <w:rPr>
                <w:b/>
                <w:color w:val="FFFFFF"/>
                <w:sz w:val="20"/>
              </w:rPr>
              <w:t>負責</w:t>
            </w:r>
          </w:p>
        </w:tc>
      </w:tr>
      <w:tr>
        <w:trPr>
          <w:cantSplit/>
        </w:trPr>
        <w:tc>
          <w:tcPr>
            <w:tcW w:type="dxa" w:w="2088"/>
            <w:vAlign w:val="center"/>
            <w:shd w:fill="F3F6F8"/>
          </w:tcPr>
          <w:p>
            <w:pPr>
              <w:keepNext w:val="0"/>
              <w:spacing w:before="0" w:after="0" w:line="283" w:lineRule="auto"/>
              <w:jc w:val="left"/>
            </w:pPr>
            <w:r>
              <w:rPr>
                <w:sz w:val="20"/>
              </w:rPr>
              <w:t>雲端網址</w:t>
            </w:r>
          </w:p>
        </w:tc>
        <w:tc>
          <w:tcPr>
            <w:tcW w:type="dxa" w:w="6926"/>
            <w:vAlign w:val="center"/>
            <w:shd w:fill="F3F6F8"/>
          </w:tcPr>
          <w:p>
            <w:pPr>
              <w:keepNext w:val="0"/>
              <w:spacing w:before="0" w:after="0" w:line="283" w:lineRule="auto"/>
              <w:jc w:val="left"/>
            </w:pPr>
            <w:r>
              <w:rPr>
                <w:sz w:val="20"/>
              </w:rPr>
              <w:t>可進入、可操作、展示資料隔離、提供使用說明</w:t>
            </w:r>
          </w:p>
        </w:tc>
        <w:tc>
          <w:tcPr>
            <w:tcW w:type="dxa" w:w="1152"/>
            <w:vAlign w:val="center"/>
            <w:shd w:fill="F3F6F8"/>
          </w:tcPr>
          <w:p>
            <w:pPr>
              <w:keepNext w:val="0"/>
              <w:spacing w:before="0" w:after="0" w:line="283" w:lineRule="auto"/>
              <w:jc w:val="center"/>
            </w:pPr>
            <w:r>
              <w:rPr>
                <w:sz w:val="20"/>
              </w:rPr>
              <w:t>A</w:t>
            </w:r>
          </w:p>
        </w:tc>
      </w:tr>
      <w:tr>
        <w:trPr>
          <w:cantSplit/>
        </w:trPr>
        <w:tc>
          <w:tcPr>
            <w:tcW w:type="dxa" w:w="2088"/>
            <w:vAlign w:val="center"/>
            <w:shd w:fill="FFFFFF"/>
          </w:tcPr>
          <w:p>
            <w:pPr>
              <w:keepNext w:val="0"/>
              <w:spacing w:before="0" w:after="0" w:line="283" w:lineRule="auto"/>
              <w:jc w:val="left"/>
            </w:pPr>
            <w:r>
              <w:rPr>
                <w:sz w:val="20"/>
              </w:rPr>
              <w:t>公開 GitHub</w:t>
            </w:r>
          </w:p>
        </w:tc>
        <w:tc>
          <w:tcPr>
            <w:tcW w:type="dxa" w:w="6926"/>
            <w:vAlign w:val="center"/>
            <w:shd w:fill="FFFFFF"/>
          </w:tcPr>
          <w:p>
            <w:pPr>
              <w:keepNext w:val="0"/>
              <w:spacing w:before="0" w:after="0" w:line="283" w:lineRule="auto"/>
              <w:jc w:val="left"/>
            </w:pPr>
            <w:r>
              <w:rPr>
                <w:sz w:val="20"/>
              </w:rPr>
              <w:t>產品程式碼、英文 README、設定範例、授權及來源</w:t>
            </w:r>
          </w:p>
        </w:tc>
        <w:tc>
          <w:tcPr>
            <w:tcW w:type="dxa" w:w="1152"/>
            <w:vAlign w:val="center"/>
            <w:shd w:fill="FFFFFF"/>
          </w:tcPr>
          <w:p>
            <w:pPr>
              <w:keepNext w:val="0"/>
              <w:spacing w:before="0" w:after="0" w:line="283" w:lineRule="auto"/>
              <w:jc w:val="center"/>
            </w:pPr>
            <w:r>
              <w:rPr>
                <w:sz w:val="20"/>
              </w:rPr>
              <w:t>A</w:t>
            </w:r>
          </w:p>
        </w:tc>
      </w:tr>
      <w:tr>
        <w:trPr>
          <w:cantSplit/>
        </w:trPr>
        <w:tc>
          <w:tcPr>
            <w:tcW w:type="dxa" w:w="2088"/>
            <w:vAlign w:val="center"/>
            <w:shd w:fill="F3F6F8"/>
          </w:tcPr>
          <w:p>
            <w:pPr>
              <w:keepNext w:val="0"/>
              <w:spacing w:before="0" w:after="0" w:line="283" w:lineRule="auto"/>
              <w:jc w:val="left"/>
            </w:pPr>
            <w:r>
              <w:rPr>
                <w:sz w:val="20"/>
              </w:rPr>
              <w:t>評估文件</w:t>
            </w:r>
          </w:p>
        </w:tc>
        <w:tc>
          <w:tcPr>
            <w:tcW w:type="dxa" w:w="6926"/>
            <w:vAlign w:val="center"/>
            <w:shd w:fill="F3F6F8"/>
          </w:tcPr>
          <w:p>
            <w:pPr>
              <w:keepNext w:val="0"/>
              <w:spacing w:before="0" w:after="0" w:line="283" w:lineRule="auto"/>
              <w:jc w:val="left"/>
            </w:pPr>
            <w:r>
              <w:rPr>
                <w:sz w:val="20"/>
              </w:rPr>
              <w:t>方法、資料來源、案例數、實測值、失敗與限制</w:t>
            </w:r>
          </w:p>
        </w:tc>
        <w:tc>
          <w:tcPr>
            <w:tcW w:type="dxa" w:w="1152"/>
            <w:vAlign w:val="center"/>
            <w:shd w:fill="F3F6F8"/>
          </w:tcPr>
          <w:p>
            <w:pPr>
              <w:keepNext w:val="0"/>
              <w:spacing w:before="0" w:after="0" w:line="283" w:lineRule="auto"/>
              <w:jc w:val="center"/>
            </w:pPr>
            <w:r>
              <w:rPr>
                <w:sz w:val="20"/>
              </w:rPr>
              <w:t>共同</w:t>
            </w:r>
          </w:p>
        </w:tc>
      </w:tr>
      <w:tr>
        <w:trPr>
          <w:cantSplit/>
        </w:trPr>
        <w:tc>
          <w:tcPr>
            <w:tcW w:type="dxa" w:w="2088"/>
            <w:vAlign w:val="center"/>
            <w:shd w:fill="FFFFFF"/>
          </w:tcPr>
          <w:p>
            <w:pPr>
              <w:keepNext w:val="0"/>
              <w:spacing w:before="0" w:after="0" w:line="283" w:lineRule="auto"/>
              <w:jc w:val="left"/>
            </w:pPr>
            <w:r>
              <w:rPr>
                <w:sz w:val="20"/>
              </w:rPr>
              <w:t>英文 PDF 簡報</w:t>
            </w:r>
          </w:p>
        </w:tc>
        <w:tc>
          <w:tcPr>
            <w:tcW w:type="dxa" w:w="6926"/>
            <w:vAlign w:val="center"/>
            <w:shd w:fill="FFFFFF"/>
          </w:tcPr>
          <w:p>
            <w:pPr>
              <w:keepNext w:val="0"/>
              <w:spacing w:before="0" w:after="0" w:line="283" w:lineRule="auto"/>
              <w:jc w:val="left"/>
            </w:pPr>
            <w:r>
              <w:rPr>
                <w:sz w:val="20"/>
              </w:rPr>
              <w:t>使用者、問題、流程、差異、架構、結果與商業假設</w:t>
            </w:r>
          </w:p>
        </w:tc>
        <w:tc>
          <w:tcPr>
            <w:tcW w:type="dxa" w:w="1152"/>
            <w:vAlign w:val="center"/>
            <w:shd w:fill="FFFFFF"/>
          </w:tcPr>
          <w:p>
            <w:pPr>
              <w:keepNext w:val="0"/>
              <w:spacing w:before="0" w:after="0" w:line="283" w:lineRule="auto"/>
              <w:jc w:val="center"/>
            </w:pPr>
            <w:r>
              <w:rPr>
                <w:sz w:val="20"/>
              </w:rPr>
              <w:t>B</w:t>
            </w:r>
          </w:p>
        </w:tc>
      </w:tr>
      <w:tr>
        <w:trPr>
          <w:cantSplit/>
        </w:trPr>
        <w:tc>
          <w:tcPr>
            <w:tcW w:type="dxa" w:w="2088"/>
            <w:vAlign w:val="center"/>
            <w:shd w:fill="F3F6F8"/>
          </w:tcPr>
          <w:p>
            <w:pPr>
              <w:keepNext w:val="0"/>
              <w:spacing w:before="0" w:after="0" w:line="283" w:lineRule="auto"/>
              <w:jc w:val="left"/>
            </w:pPr>
            <w:r>
              <w:rPr>
                <w:sz w:val="20"/>
              </w:rPr>
              <w:t>公開短影片</w:t>
            </w:r>
          </w:p>
        </w:tc>
        <w:tc>
          <w:tcPr>
            <w:tcW w:type="dxa" w:w="6926"/>
            <w:vAlign w:val="center"/>
            <w:shd w:fill="F3F6F8"/>
          </w:tcPr>
          <w:p>
            <w:pPr>
              <w:keepNext w:val="0"/>
              <w:spacing w:before="0" w:after="0" w:line="283" w:lineRule="auto"/>
              <w:jc w:val="left"/>
            </w:pPr>
            <w:r>
              <w:rPr>
                <w:sz w:val="20"/>
              </w:rPr>
              <w:t>目標 2 分 45 秒，含真實操作與英文字幕</w:t>
            </w:r>
          </w:p>
        </w:tc>
        <w:tc>
          <w:tcPr>
            <w:tcW w:type="dxa" w:w="1152"/>
            <w:vAlign w:val="center"/>
            <w:shd w:fill="F3F6F8"/>
          </w:tcPr>
          <w:p>
            <w:pPr>
              <w:keepNext w:val="0"/>
              <w:spacing w:before="0" w:after="0" w:line="283" w:lineRule="auto"/>
              <w:jc w:val="center"/>
            </w:pPr>
            <w:r>
              <w:rPr>
                <w:sz w:val="20"/>
              </w:rPr>
              <w:t>B</w:t>
            </w:r>
          </w:p>
        </w:tc>
      </w:tr>
      <w:tr>
        <w:trPr>
          <w:cantSplit/>
        </w:trPr>
        <w:tc>
          <w:tcPr>
            <w:tcW w:type="dxa" w:w="2088"/>
            <w:vAlign w:val="center"/>
            <w:shd w:fill="FFFFFF"/>
          </w:tcPr>
          <w:p>
            <w:pPr>
              <w:keepNext w:val="0"/>
              <w:spacing w:before="0" w:after="0" w:line="283" w:lineRule="auto"/>
              <w:jc w:val="left"/>
            </w:pPr>
            <w:r>
              <w:rPr>
                <w:sz w:val="20"/>
              </w:rPr>
              <w:t>提交紀錄</w:t>
            </w:r>
          </w:p>
        </w:tc>
        <w:tc>
          <w:tcPr>
            <w:tcW w:type="dxa" w:w="6926"/>
            <w:vAlign w:val="center"/>
            <w:shd w:fill="FFFFFF"/>
          </w:tcPr>
          <w:p>
            <w:pPr>
              <w:keepNext w:val="0"/>
              <w:spacing w:before="0" w:after="0" w:line="283" w:lineRule="auto"/>
              <w:jc w:val="left"/>
            </w:pPr>
            <w:r>
              <w:rPr>
                <w:sz w:val="20"/>
              </w:rPr>
              <w:t>連結、版本、提交時間與平台回執</w:t>
            </w:r>
          </w:p>
        </w:tc>
        <w:tc>
          <w:tcPr>
            <w:tcW w:type="dxa" w:w="1152"/>
            <w:vAlign w:val="center"/>
            <w:shd w:fill="FFFFFF"/>
          </w:tcPr>
          <w:p>
            <w:pPr>
              <w:keepNext w:val="0"/>
              <w:spacing w:before="0" w:after="0" w:line="283" w:lineRule="auto"/>
              <w:jc w:val="center"/>
            </w:pPr>
            <w:r>
              <w:rPr>
                <w:sz w:val="20"/>
              </w:rPr>
              <w:t>隊長</w:t>
            </w:r>
          </w:p>
        </w:tc>
      </w:tr>
    </w:tbl>
    <w:p>
      <w:pPr>
        <w:spacing w:after="60" w:before="0" w:line="240" w:lineRule="auto"/>
      </w:pPr>
      <w:r>
        <w:rPr>
          <w:sz w:val="6"/>
        </w:rPr>
      </w:r>
    </w:p>
    <w:p>
      <w:pPr>
        <w:pStyle w:val="Heading2"/>
      </w:pPr>
      <w:r>
        <w:t>八頁簡報的內容</w:t>
      </w:r>
    </w:p>
    <w:p>
      <w:pPr>
        <w:ind w:left="331" w:hanging="331"/>
      </w:pPr>
      <w:r>
        <w:t>1. 使用者與工作問題，配一個實際可理解的交接情境。</w:t>
      </w:r>
    </w:p>
    <w:p>
      <w:pPr>
        <w:ind w:left="331" w:hanging="331"/>
      </w:pPr>
      <w:r>
        <w:t>2. 現有流程，呈現資料分散與人工判斷的位置。</w:t>
      </w:r>
    </w:p>
    <w:p>
      <w:pPr>
        <w:ind w:left="331" w:hanging="331"/>
      </w:pPr>
      <w:r>
        <w:t>3. Handoff Guard 的操作流程與工作成果。</w:t>
      </w:r>
    </w:p>
    <w:p>
      <w:pPr>
        <w:ind w:left="331" w:hanging="331"/>
      </w:pPr>
      <w:r>
        <w:t>4. 衝突來源、承諾狀態及改版後重新確認的差異。</w:t>
      </w:r>
    </w:p>
    <w:p>
      <w:pPr>
        <w:ind w:left="331" w:hanging="331"/>
      </w:pPr>
      <w:r>
        <w:t>5. Google Cloud 架構及 AI 與程式分工。</w:t>
      </w:r>
    </w:p>
    <w:p>
      <w:pPr>
        <w:ind w:left="331" w:hanging="331"/>
      </w:pPr>
      <w:r>
        <w:t>6. 人工、直接模型與原型的實測比較。</w:t>
      </w:r>
    </w:p>
    <w:p>
      <w:pPr>
        <w:ind w:left="331" w:hanging="331"/>
      </w:pPr>
      <w:r>
        <w:t>7. 試用回饋、限制與賽後商業驗證。</w:t>
      </w:r>
    </w:p>
    <w:p>
      <w:pPr>
        <w:ind w:left="331" w:hanging="331"/>
      </w:pPr>
      <w:r>
        <w:t>8. 團隊、可用網址及下一階段計劃。</w:t>
      </w:r>
    </w:p>
    <w:p>
      <w:pPr>
        <w:pStyle w:val="Heading2"/>
      </w:pPr>
      <w:r>
        <w:t>影片分鏡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115" w:type="dxa"/>
          <w:bottom w:w="90" w:type="dxa"/>
          <w:right w:w="115" w:type="dxa"/>
        </w:tblCellMar>
      </w:tblPr>
      <w:tblGrid>
        <w:gridCol w:w="1699"/>
        <w:gridCol w:w="2923"/>
        <w:gridCol w:w="5544"/>
      </w:tblGrid>
      <w:tr>
        <w:trPr>
          <w:cantSplit/>
          <w:tblHeader/>
        </w:trPr>
        <w:tc>
          <w:tcPr>
            <w:tcW w:type="dxa" w:w="1699"/>
            <w:vAlign w:val="center"/>
            <w:shd w:fill="173B55"/>
          </w:tcPr>
          <w:p>
            <w:pPr>
              <w:keepNext/>
              <w:spacing w:before="0" w:after="0" w:line="283" w:lineRule="auto"/>
              <w:jc w:val="left"/>
            </w:pPr>
            <w:r>
              <w:rPr>
                <w:b/>
                <w:color w:val="FFFFFF"/>
                <w:sz w:val="20"/>
              </w:rPr>
              <w:t>時間</w:t>
            </w:r>
          </w:p>
        </w:tc>
        <w:tc>
          <w:tcPr>
            <w:tcW w:type="dxa" w:w="2923"/>
            <w:vAlign w:val="center"/>
            <w:shd w:fill="173B55"/>
          </w:tcPr>
          <w:p>
            <w:pPr>
              <w:keepNext/>
              <w:spacing w:before="0" w:after="0" w:line="283" w:lineRule="auto"/>
              <w:jc w:val="left"/>
            </w:pPr>
            <w:r>
              <w:rPr>
                <w:b/>
                <w:color w:val="FFFFFF"/>
                <w:sz w:val="20"/>
              </w:rPr>
              <w:t>畫面</w:t>
            </w:r>
          </w:p>
        </w:tc>
        <w:tc>
          <w:tcPr>
            <w:tcW w:type="dxa" w:w="5544"/>
            <w:vAlign w:val="center"/>
            <w:shd w:fill="173B55"/>
          </w:tcPr>
          <w:p>
            <w:pPr>
              <w:keepNext/>
              <w:spacing w:before="0" w:after="0" w:line="283" w:lineRule="auto"/>
              <w:jc w:val="left"/>
            </w:pPr>
            <w:r>
              <w:rPr>
                <w:b/>
                <w:color w:val="FFFFFF"/>
                <w:sz w:val="20"/>
              </w:rPr>
              <w:t>傳達內容</w:t>
            </w:r>
          </w:p>
        </w:tc>
      </w:tr>
      <w:tr>
        <w:trPr>
          <w:cantSplit/>
        </w:trPr>
        <w:tc>
          <w:tcPr>
            <w:tcW w:type="dxa" w:w="1699"/>
            <w:vAlign w:val="center"/>
            <w:shd w:fill="F3F6F8"/>
          </w:tcPr>
          <w:p>
            <w:pPr>
              <w:keepNext w:val="0"/>
              <w:spacing w:before="0" w:after="0" w:line="283" w:lineRule="auto"/>
              <w:jc w:val="left"/>
            </w:pPr>
            <w:r>
              <w:rPr>
                <w:sz w:val="20"/>
              </w:rPr>
              <w:t>0:00 至 0:20</w:t>
            </w:r>
          </w:p>
        </w:tc>
        <w:tc>
          <w:tcPr>
            <w:tcW w:type="dxa" w:w="2923"/>
            <w:vAlign w:val="center"/>
            <w:shd w:fill="F3F6F8"/>
          </w:tcPr>
          <w:p>
            <w:pPr>
              <w:keepNext w:val="0"/>
              <w:spacing w:before="0" w:after="0" w:line="283" w:lineRule="auto"/>
              <w:jc w:val="left"/>
            </w:pPr>
            <w:r>
              <w:rPr>
                <w:sz w:val="20"/>
              </w:rPr>
              <w:t>PM 與三份工作資料</w:t>
            </w:r>
          </w:p>
        </w:tc>
        <w:tc>
          <w:tcPr>
            <w:tcW w:type="dxa" w:w="5544"/>
            <w:vAlign w:val="center"/>
            <w:shd w:fill="F3F6F8"/>
          </w:tcPr>
          <w:p>
            <w:pPr>
              <w:keepNext w:val="0"/>
              <w:spacing w:before="0" w:after="0" w:line="283" w:lineRule="auto"/>
              <w:jc w:val="left"/>
            </w:pPr>
            <w:r>
              <w:rPr>
                <w:sz w:val="20"/>
              </w:rPr>
              <w:t>交付變更需要跨文件判斷</w:t>
            </w:r>
          </w:p>
        </w:tc>
      </w:tr>
      <w:tr>
        <w:trPr>
          <w:cantSplit/>
        </w:trPr>
        <w:tc>
          <w:tcPr>
            <w:tcW w:type="dxa" w:w="1699"/>
            <w:vAlign w:val="center"/>
            <w:shd w:fill="FFFFFF"/>
          </w:tcPr>
          <w:p>
            <w:pPr>
              <w:keepNext w:val="0"/>
              <w:spacing w:before="0" w:after="0" w:line="283" w:lineRule="auto"/>
              <w:jc w:val="left"/>
            </w:pPr>
            <w:r>
              <w:rPr>
                <w:sz w:val="20"/>
              </w:rPr>
              <w:t>0:20 至 0:45</w:t>
            </w:r>
          </w:p>
        </w:tc>
        <w:tc>
          <w:tcPr>
            <w:tcW w:type="dxa" w:w="2923"/>
            <w:vAlign w:val="center"/>
            <w:shd w:fill="FFFFFF"/>
          </w:tcPr>
          <w:p>
            <w:pPr>
              <w:keepNext w:val="0"/>
              <w:spacing w:before="0" w:after="0" w:line="283" w:lineRule="auto"/>
              <w:jc w:val="left"/>
            </w:pPr>
            <w:r>
              <w:rPr>
                <w:sz w:val="20"/>
              </w:rPr>
              <w:t>匯入與分析</w:t>
            </w:r>
          </w:p>
        </w:tc>
        <w:tc>
          <w:tcPr>
            <w:tcW w:type="dxa" w:w="5544"/>
            <w:vAlign w:val="center"/>
            <w:shd w:fill="FFFFFF"/>
          </w:tcPr>
          <w:p>
            <w:pPr>
              <w:keepNext w:val="0"/>
              <w:spacing w:before="0" w:after="0" w:line="283" w:lineRule="auto"/>
              <w:jc w:val="left"/>
            </w:pPr>
            <w:r>
              <w:rPr>
                <w:sz w:val="20"/>
              </w:rPr>
              <w:t>原計劃與新要求產生差異</w:t>
            </w:r>
          </w:p>
        </w:tc>
      </w:tr>
      <w:tr>
        <w:trPr>
          <w:cantSplit/>
        </w:trPr>
        <w:tc>
          <w:tcPr>
            <w:tcW w:type="dxa" w:w="1699"/>
            <w:vAlign w:val="center"/>
            <w:shd w:fill="F3F6F8"/>
          </w:tcPr>
          <w:p>
            <w:pPr>
              <w:keepNext w:val="0"/>
              <w:spacing w:before="0" w:after="0" w:line="283" w:lineRule="auto"/>
              <w:jc w:val="left"/>
            </w:pPr>
            <w:r>
              <w:rPr>
                <w:sz w:val="20"/>
              </w:rPr>
              <w:t>0:45 至 1:25</w:t>
            </w:r>
          </w:p>
        </w:tc>
        <w:tc>
          <w:tcPr>
            <w:tcW w:type="dxa" w:w="2923"/>
            <w:vAlign w:val="center"/>
            <w:shd w:fill="F3F6F8"/>
          </w:tcPr>
          <w:p>
            <w:pPr>
              <w:keepNext w:val="0"/>
              <w:spacing w:before="0" w:after="0" w:line="283" w:lineRule="auto"/>
              <w:jc w:val="left"/>
            </w:pPr>
            <w:r>
              <w:rPr>
                <w:sz w:val="20"/>
              </w:rPr>
              <w:t>查看原文及受影響任務</w:t>
            </w:r>
          </w:p>
        </w:tc>
        <w:tc>
          <w:tcPr>
            <w:tcW w:type="dxa" w:w="5544"/>
            <w:vAlign w:val="center"/>
            <w:shd w:fill="F3F6F8"/>
          </w:tcPr>
          <w:p>
            <w:pPr>
              <w:keepNext w:val="0"/>
              <w:spacing w:before="0" w:after="0" w:line="283" w:lineRule="auto"/>
              <w:jc w:val="left"/>
            </w:pPr>
            <w:r>
              <w:rPr>
                <w:sz w:val="20"/>
              </w:rPr>
              <w:t>AI 的結論與依據可檢查</w:t>
            </w:r>
          </w:p>
        </w:tc>
      </w:tr>
      <w:tr>
        <w:trPr>
          <w:cantSplit/>
        </w:trPr>
        <w:tc>
          <w:tcPr>
            <w:tcW w:type="dxa" w:w="1699"/>
            <w:vAlign w:val="center"/>
            <w:shd w:fill="FFFFFF"/>
          </w:tcPr>
          <w:p>
            <w:pPr>
              <w:keepNext w:val="0"/>
              <w:spacing w:before="0" w:after="0" w:line="283" w:lineRule="auto"/>
              <w:jc w:val="left"/>
            </w:pPr>
            <w:r>
              <w:rPr>
                <w:sz w:val="20"/>
              </w:rPr>
              <w:t>1:25 至 2:00</w:t>
            </w:r>
          </w:p>
        </w:tc>
        <w:tc>
          <w:tcPr>
            <w:tcW w:type="dxa" w:w="2923"/>
            <w:vAlign w:val="center"/>
            <w:shd w:fill="FFFFFF"/>
          </w:tcPr>
          <w:p>
            <w:pPr>
              <w:keepNext w:val="0"/>
              <w:spacing w:before="0" w:after="0" w:line="283" w:lineRule="auto"/>
              <w:jc w:val="left"/>
            </w:pPr>
            <w:r>
              <w:rPr>
                <w:sz w:val="20"/>
              </w:rPr>
              <w:t>修改、確認並回讀任務</w:t>
            </w:r>
          </w:p>
        </w:tc>
        <w:tc>
          <w:tcPr>
            <w:tcW w:type="dxa" w:w="5544"/>
            <w:vAlign w:val="center"/>
            <w:shd w:fill="FFFFFF"/>
          </w:tcPr>
          <w:p>
            <w:pPr>
              <w:keepNext w:val="0"/>
              <w:spacing w:before="0" w:after="0" w:line="283" w:lineRule="auto"/>
              <w:jc w:val="left"/>
            </w:pPr>
            <w:r>
              <w:rPr>
                <w:sz w:val="20"/>
              </w:rPr>
              <w:t>人員決定後才保存更新</w:t>
            </w:r>
          </w:p>
        </w:tc>
      </w:tr>
      <w:tr>
        <w:trPr>
          <w:cantSplit/>
        </w:trPr>
        <w:tc>
          <w:tcPr>
            <w:tcW w:type="dxa" w:w="1699"/>
            <w:vAlign w:val="center"/>
            <w:shd w:fill="F3F6F8"/>
          </w:tcPr>
          <w:p>
            <w:pPr>
              <w:keepNext w:val="0"/>
              <w:spacing w:before="0" w:after="0" w:line="283" w:lineRule="auto"/>
              <w:jc w:val="left"/>
            </w:pPr>
            <w:r>
              <w:rPr>
                <w:sz w:val="20"/>
              </w:rPr>
              <w:t>2:00 至 2:20</w:t>
            </w:r>
          </w:p>
        </w:tc>
        <w:tc>
          <w:tcPr>
            <w:tcW w:type="dxa" w:w="2923"/>
            <w:vAlign w:val="center"/>
            <w:shd w:fill="F3F6F8"/>
          </w:tcPr>
          <w:p>
            <w:pPr>
              <w:keepNext w:val="0"/>
              <w:spacing w:before="0" w:after="0" w:line="283" w:lineRule="auto"/>
              <w:jc w:val="left"/>
            </w:pPr>
            <w:r>
              <w:rPr>
                <w:sz w:val="20"/>
              </w:rPr>
              <w:t>新版本或資料不足例子</w:t>
            </w:r>
          </w:p>
        </w:tc>
        <w:tc>
          <w:tcPr>
            <w:tcW w:type="dxa" w:w="5544"/>
            <w:vAlign w:val="center"/>
            <w:shd w:fill="F3F6F8"/>
          </w:tcPr>
          <w:p>
            <w:pPr>
              <w:keepNext w:val="0"/>
              <w:spacing w:before="0" w:after="0" w:line="283" w:lineRule="auto"/>
              <w:jc w:val="left"/>
            </w:pPr>
            <w:r>
              <w:rPr>
                <w:sz w:val="20"/>
              </w:rPr>
              <w:t>不確定與失效狀態如何處理</w:t>
            </w:r>
          </w:p>
        </w:tc>
      </w:tr>
      <w:tr>
        <w:trPr>
          <w:cantSplit/>
        </w:trPr>
        <w:tc>
          <w:tcPr>
            <w:tcW w:type="dxa" w:w="1699"/>
            <w:vAlign w:val="center"/>
            <w:shd w:fill="FFFFFF"/>
          </w:tcPr>
          <w:p>
            <w:pPr>
              <w:keepNext w:val="0"/>
              <w:spacing w:before="0" w:after="0" w:line="283" w:lineRule="auto"/>
              <w:jc w:val="left"/>
            </w:pPr>
            <w:r>
              <w:rPr>
                <w:sz w:val="20"/>
              </w:rPr>
              <w:t>2:20 至 2:45</w:t>
            </w:r>
          </w:p>
        </w:tc>
        <w:tc>
          <w:tcPr>
            <w:tcW w:type="dxa" w:w="2923"/>
            <w:vAlign w:val="center"/>
            <w:shd w:fill="FFFFFF"/>
          </w:tcPr>
          <w:p>
            <w:pPr>
              <w:keepNext w:val="0"/>
              <w:spacing w:before="0" w:after="0" w:line="283" w:lineRule="auto"/>
              <w:jc w:val="left"/>
            </w:pPr>
            <w:r>
              <w:rPr>
                <w:sz w:val="20"/>
              </w:rPr>
              <w:t>實測圖表與架構</w:t>
            </w:r>
          </w:p>
        </w:tc>
        <w:tc>
          <w:tcPr>
            <w:tcW w:type="dxa" w:w="5544"/>
            <w:vAlign w:val="center"/>
            <w:shd w:fill="FFFFFF"/>
          </w:tcPr>
          <w:p>
            <w:pPr>
              <w:keepNext w:val="0"/>
              <w:spacing w:before="0" w:after="0" w:line="283" w:lineRule="auto"/>
              <w:jc w:val="left"/>
            </w:pPr>
            <w:r>
              <w:rPr>
                <w:sz w:val="20"/>
              </w:rPr>
              <w:t>成效、Google 技術及下一步</w:t>
            </w:r>
          </w:p>
        </w:tc>
      </w:tr>
    </w:tbl>
    <w:p>
      <w:pPr>
        <w:spacing w:after="60" w:before="0" w:line="240" w:lineRule="auto"/>
      </w:pPr>
      <w:r>
        <w:rPr>
          <w:sz w:val="6"/>
        </w:rPr>
      </w:r>
    </w:p>
    <w:p>
      <w:r>
        <w:t>若畫面等待時間有剪輯，標示剪輯位置；成本與耗時採實際量測。影片中的外部整合必須確實完成。錄影前先固定案例與資料版本，確認字幕、游標、字級及影片長度。</w:t>
      </w:r>
    </w:p>
    <w:p>
      <w:pPr>
        <w:pStyle w:val="Heading2"/>
      </w:pPr>
      <w:r>
        <w:t>英文摘要草稿</w:t>
      </w:r>
    </w:p>
    <w:p>
      <w:r>
        <w:t>Handoff Guard is a proposed delivery change assistant for software implementation and consulting teams. It helps project managers compare approved handoff documents, new customer requests, and existing tasks. The system identifies changes to dates, scope, and ownership, links each finding to its source, and prepares a task update for human review.</w:t>
      </w:r>
    </w:p>
    <w:p>
      <w:r>
        <w:t>The prototype will distinguish a requested change from an accepted commitment. Reviewers can inspect evidence, correct the proposal, and confirm the exact update. The application will check permissions and document versions before saving changes. Repeated requests will return the recorded outcome rather than applying the update again.</w:t>
      </w:r>
    </w:p>
    <w:p>
      <w:r>
        <w:t>The planned Google Cloud implementation uses Gemini for language understanding, Cloud Run for the application, Firestore for workflow state, Cloud Storage for documents, and Firebase Authentication for identity. Evaluation will compare manual work, a direct Gemini baseline, and the complete prototype using held-out cases and a small user study. Results will report observed accuracy, completion time, cost, and limitations.</w:t>
      </w:r>
    </w:p>
    <w:p>
      <w:r>
        <w:t>這段摘要在交件前依已完成範圍更新時態；只有已驗證的功能才改寫成現有能力。評估成果另填實際結果，保留樣本數與適用範圍。</w:t>
      </w:r>
    </w:p>
    <w:p>
      <w:pPr>
        <w:pStyle w:val="Heading2"/>
      </w:pPr>
      <w:r>
        <w:t>英文操作講稿草稿</w:t>
      </w:r>
    </w:p>
    <w:p>
      <w:r>
        <w:t>Project managers often receive a new delivery request through email while the approved plan and task list still describe an earlier agreement. They have to work out what changed, which tasks are affected, and what the team has actually accepted.</w:t>
      </w:r>
    </w:p>
    <w:p>
      <w:r>
        <w:t>In this example, the approved plan says October twentieth. A new email asks for October tenth and adds single sign-on. Handoff Guard identifies both changes and shows the original passages beside the affected work.</w:t>
      </w:r>
    </w:p>
    <w:p>
      <w:r>
        <w:t>The new email is a request. The reviewer decides whether to accept it. Here, we inspect the evidence, correct the proposed task update, and confirm the exact changes. The application saves the tasks and displays the recorded outcome. Reloading the page shows the same result.</w:t>
      </w:r>
    </w:p>
    <w:p>
      <w:r>
        <w:t>Now consider a document arriving after review has started. The proposal is marked for another review because its source version has changed. Missing ownership is also shown as a question for the team to resolve.</w:t>
      </w:r>
    </w:p>
    <w:p>
      <w:r>
        <w:t>Our evaluation compares manual handling, direct Gemini use, and the complete workflow. The results shown here will include the number of cases, observed processing time, and errors. Gemini performs the document analysis, while our application controls permissions, review, and task updates on Google Cloud.</w:t>
      </w:r>
    </w:p>
    <w:p>
      <w:r>
        <w:t>講稿按分鏡配速，保留約 15 至 20 秒讓觀眾閱讀操作畫面。最後一段在錄影前換成真正量到的數字；目前草稿不宣稱測試已完成。</w:t>
      </w:r>
    </w:p>
    <w:p>
      <w:pPr>
        <w:pStyle w:val="Heading1"/>
      </w:pPr>
      <w:r>
        <w:t>15 賽後驗證與近期行動</w:t>
      </w:r>
    </w:p>
    <w:p>
      <w:r>
        <w:t>賽後優先邀請兩家軟體導入或顧問團隊，以一個正在進行的專案試用兩至四週。先觀察使用頻率、每案修正量、被發現的遺漏、節省時間及繼續使用意願，再確認是否需要既有專案管理工具串接。</w:t>
      </w:r>
    </w:p>
    <w:p>
      <w:r>
        <w:t>商業模式先比較按團隊月費與按活躍專案收費。價格以客戶願付意願、每案服務成本與實測節省工時訂定，本計劃不虛設營收或市場規模。對外試點與商用安排須先處理適用的資料權利、參賽條款及維運責任。</w:t>
      </w:r>
    </w:p>
    <w:p>
      <w:r>
        <w:t>如果小型試用顯示 AI 提醒需要大量人工修正，下一階段優先改善標註、來源與任務關聯。若使用者接受分析結果但不願切換工作台，則優先驗證一個現有工具整合。跨語言及其他企業流程的擴充，以相同測試方法重新建立證據。</w:t>
      </w:r>
    </w:p>
    <w:p>
      <w:pPr>
        <w:pStyle w:val="Heading2"/>
      </w:pPr>
      <w:r>
        <w:t>接下來 48 小時</w:t>
      </w:r>
    </w:p>
    <w:p>
      <w:pPr>
        <w:pStyle w:val="ListBullet"/>
      </w:pPr>
      <w:r>
        <w:t>指定隊長及 A、B 角色，確認三週工時容量與兩位成員資格。</w:t>
      </w:r>
    </w:p>
    <w:p>
      <w:pPr>
        <w:pStyle w:val="ListBullet"/>
      </w:pPr>
      <w:r>
        <w:t>向主辦方提出第 13 節的規則問題，保存書面回覆。</w:t>
      </w:r>
    </w:p>
    <w:p>
      <w:pPr>
        <w:pStyle w:val="ListBullet"/>
      </w:pPr>
      <w:r>
        <w:t>預約三位訪談對象，整理三個交付變更案例。</w:t>
      </w:r>
    </w:p>
    <w:p>
      <w:pPr>
        <w:pStyle w:val="ListBullet"/>
      </w:pPr>
      <w:r>
        <w:t>確認 Google Cloud 帳號、帳單、模型與部署權限，估算第一週用量。</w:t>
      </w:r>
    </w:p>
    <w:p>
      <w:pPr>
        <w:pStyle w:val="ListBullet"/>
      </w:pPr>
      <w:r>
        <w:t>建立範圍與驗收清單，安排最小服務上雲及第一次模型比較。</w:t>
      </w:r>
    </w:p>
    <w:p>
      <w:pPr>
        <w:pStyle w:val="Heading1"/>
      </w:pPr>
      <w:r>
        <w:t>16 來源與文件維護</w:t>
      </w:r>
    </w:p>
    <w:p>
      <w:r>
        <w:t>賽事規則與服務文件查核基準日為 2026 年 9 月 9 日。日期、功能及服務價格可能更新，正式提交前再次核對。下列來源支持外部事實；本計劃的架構、排程、目標與預算為團隊執行建議。</w:t>
      </w:r>
    </w:p>
    <w:p>
      <w:pPr>
        <w:ind w:left="331" w:hanging="331"/>
      </w:pPr>
      <w:r>
        <w:t xml:space="preserve">1. </w:t>
      </w:r>
      <w:hyperlink r:id="rId13">
        <w:r>
          <w:rPr>
            <w:rFonts w:ascii="Arial" w:hAnsi="Arial" w:eastAsia="Heiti TC"/>
            <w:color w:val="235B7A"/>
            <w:u w:val="single"/>
          </w:rPr>
          <w:t>AI Builder Cup 首頁與時程</w:t>
        </w:r>
      </w:hyperlink>
    </w:p>
    <w:p>
      <w:pPr>
        <w:ind w:left="331" w:hanging="331"/>
      </w:pPr>
      <w:r>
        <w:t xml:space="preserve">2. </w:t>
      </w:r>
      <w:hyperlink r:id="rId11">
        <w:r>
          <w:rPr>
            <w:rFonts w:ascii="Arial" w:hAnsi="Arial" w:eastAsia="Heiti TC"/>
            <w:color w:val="235B7A"/>
            <w:u w:val="single"/>
          </w:rPr>
          <w:t>AI Builder Cup 主題與要求</w:t>
        </w:r>
      </w:hyperlink>
    </w:p>
    <w:p>
      <w:pPr>
        <w:ind w:left="331" w:hanging="331"/>
      </w:pPr>
      <w:r>
        <w:t xml:space="preserve">3. </w:t>
      </w:r>
      <w:hyperlink r:id="rId10">
        <w:r>
          <w:rPr>
            <w:rFonts w:ascii="Arial" w:hAnsi="Arial" w:eastAsia="Heiti TC"/>
            <w:color w:val="235B7A"/>
            <w:u w:val="single"/>
          </w:rPr>
          <w:t>AI Builder Cup FAQ</w:t>
        </w:r>
      </w:hyperlink>
    </w:p>
    <w:p>
      <w:pPr>
        <w:ind w:left="331" w:hanging="331"/>
      </w:pPr>
      <w:r>
        <w:t xml:space="preserve">4. </w:t>
      </w:r>
      <w:hyperlink r:id="rId12">
        <w:r>
          <w:rPr>
            <w:rFonts w:ascii="Arial" w:hAnsi="Arial" w:eastAsia="Heiti TC"/>
            <w:color w:val="235B7A"/>
            <w:u w:val="single"/>
          </w:rPr>
          <w:t>AI Builder Cup 正式條款</w:t>
        </w:r>
      </w:hyperlink>
    </w:p>
    <w:p>
      <w:pPr>
        <w:ind w:left="331" w:hanging="331"/>
      </w:pPr>
      <w:r>
        <w:t xml:space="preserve">5. </w:t>
      </w:r>
      <w:hyperlink r:id="rId14">
        <w:r>
          <w:rPr>
            <w:rFonts w:ascii="Arial" w:hAnsi="Arial" w:eastAsia="Heiti TC"/>
            <w:color w:val="235B7A"/>
            <w:u w:val="single"/>
          </w:rPr>
          <w:t>Gemini Enterprise</w:t>
        </w:r>
      </w:hyperlink>
    </w:p>
    <w:p>
      <w:pPr>
        <w:ind w:left="331" w:hanging="331"/>
      </w:pPr>
      <w:r>
        <w:t xml:space="preserve">6. </w:t>
      </w:r>
      <w:hyperlink r:id="rId15">
        <w:r>
          <w:rPr>
            <w:rFonts w:ascii="Arial" w:hAnsi="Arial" w:eastAsia="Heiti TC"/>
            <w:color w:val="235B7A"/>
            <w:u w:val="single"/>
          </w:rPr>
          <w:t>Glean Agents</w:t>
        </w:r>
      </w:hyperlink>
    </w:p>
    <w:p>
      <w:pPr>
        <w:ind w:left="331" w:hanging="331"/>
      </w:pPr>
      <w:r>
        <w:t xml:space="preserve">7. </w:t>
      </w:r>
      <w:hyperlink r:id="rId16">
        <w:r>
          <w:rPr>
            <w:rFonts w:ascii="Arial" w:hAnsi="Arial" w:eastAsia="Heiti TC"/>
            <w:color w:val="235B7A"/>
            <w:u w:val="single"/>
          </w:rPr>
          <w:t>Rocketlane 銷售與客戶成功交接</w:t>
        </w:r>
      </w:hyperlink>
    </w:p>
    <w:p>
      <w:pPr>
        <w:ind w:left="331" w:hanging="331"/>
      </w:pPr>
      <w:r>
        <w:t xml:space="preserve">8. </w:t>
      </w:r>
      <w:hyperlink r:id="rId17">
        <w:r>
          <w:rPr>
            <w:rFonts w:ascii="Arial" w:hAnsi="Arial" w:eastAsia="Heiti TC"/>
            <w:color w:val="235B7A"/>
            <w:u w:val="single"/>
          </w:rPr>
          <w:t>Gemini Structured output</w:t>
        </w:r>
      </w:hyperlink>
    </w:p>
    <w:p>
      <w:pPr>
        <w:ind w:left="331" w:hanging="331"/>
      </w:pPr>
      <w:r>
        <w:t xml:space="preserve">9. </w:t>
      </w:r>
      <w:hyperlink r:id="rId18">
        <w:r>
          <w:rPr>
            <w:rFonts w:ascii="Arial" w:hAnsi="Arial" w:eastAsia="Heiti TC"/>
            <w:color w:val="235B7A"/>
            <w:u w:val="single"/>
          </w:rPr>
          <w:t>ADK Cloud Run 部署</w:t>
        </w:r>
      </w:hyperlink>
    </w:p>
    <w:p>
      <w:pPr>
        <w:ind w:left="331" w:hanging="331"/>
      </w:pPr>
      <w:r>
        <w:t xml:space="preserve">10. </w:t>
      </w:r>
      <w:hyperlink r:id="rId19">
        <w:r>
          <w:rPr>
            <w:rFonts w:ascii="Arial" w:hAnsi="Arial" w:eastAsia="Heiti TC"/>
            <w:color w:val="235B7A"/>
            <w:u w:val="single"/>
          </w:rPr>
          <w:t>Firestore 交易</w:t>
        </w:r>
      </w:hyperlink>
    </w:p>
    <w:p>
      <w:pPr>
        <w:ind w:left="331" w:hanging="331"/>
      </w:pPr>
      <w:r>
        <w:t xml:space="preserve">11. </w:t>
      </w:r>
      <w:hyperlink r:id="rId20">
        <w:r>
          <w:rPr>
            <w:rFonts w:ascii="Arial" w:hAnsi="Arial" w:eastAsia="Heiti TC"/>
            <w:color w:val="235B7A"/>
            <w:u w:val="single"/>
          </w:rPr>
          <w:t>Firebase ID token 驗證</w:t>
        </w:r>
      </w:hyperlink>
    </w:p>
    <w:p>
      <w:pPr>
        <w:ind w:left="331" w:hanging="331"/>
      </w:pPr>
      <w:r>
        <w:t xml:space="preserve">12. </w:t>
      </w:r>
      <w:hyperlink r:id="rId21">
        <w:r>
          <w:rPr>
            <w:rFonts w:ascii="Arial" w:hAnsi="Arial" w:eastAsia="Heiti TC"/>
            <w:color w:val="235B7A"/>
            <w:u w:val="single"/>
          </w:rPr>
          <w:t>Cloud Run 計價</w:t>
        </w:r>
      </w:hyperlink>
    </w:p>
    <w:p>
      <w:pPr>
        <w:ind w:left="331" w:hanging="331"/>
      </w:pPr>
      <w:r>
        <w:t xml:space="preserve">13. </w:t>
      </w:r>
      <w:hyperlink r:id="rId22">
        <w:r>
          <w:rPr>
            <w:rFonts w:ascii="Arial" w:hAnsi="Arial" w:eastAsia="Heiti TC"/>
            <w:color w:val="235B7A"/>
            <w:u w:val="single"/>
          </w:rPr>
          <w:t>Google Cloud 預算與告警</w:t>
        </w:r>
      </w:hyperlink>
    </w:p>
    <w:p>
      <w:r>
        <w:t>每次重要變更記錄原因、影響功能、追加或刪減工時，以及新的驗收方式。模型、提示詞、資料範圍、外部整合與截止資訊改變時，同步檢查排程和交件材料。文件版本 1.0 的所有里程碑與指標，均屬待執行計劃。</w:t>
      </w:r>
    </w:p>
    <w:sectPr w:rsidR="00FC693F" w:rsidRPr="0006063C" w:rsidSect="00034616">
      <w:footerReference w:type="default" r:id="rId9"/>
      <w:pgSz w:w="12240" w:h="15840"/>
      <w:pgMar w:top="1008" w:right="1037" w:bottom="1008"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Handoff Guard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07" w:lineRule="auto" w:after="140"/>
    </w:pPr>
    <w:rPr>
      <w:rFonts w:ascii="Arial" w:hAnsi="Arial" w:cs="Arial" w:eastAsia="Heiti T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Heiti T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line="288" w:lineRule="auto"/>
      <w:outlineLvl w:val="0"/>
    </w:pPr>
    <w:rPr>
      <w:rFonts w:ascii="Arial" w:hAnsi="Arial" w:cs="Arial" w:eastAsia="Heiti TC"/>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60" w:line="288" w:lineRule="auto"/>
      <w:outlineLvl w:val="1"/>
    </w:pPr>
    <w:rPr>
      <w:rFonts w:ascii="Arial" w:hAnsi="Arial" w:cs="Arial" w:eastAsia="Heiti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288" w:lineRule="auto" w:before="0"/>
      <w:contextualSpacing/>
    </w:pPr>
    <w:rPr>
      <w:rFonts w:ascii="Arial" w:hAnsi="Arial" w:cs="Arial" w:eastAsia="Heiti T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88" w:lineRule="auto" w:before="220" w:after="160"/>
    </w:pPr>
    <w:rPr>
      <w:rFonts w:ascii="Arial" w:hAnsi="Arial" w:cs="Arial" w:eastAsia="Heiti T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307" w:lineRule="auto" w:after="140"/>
      <w:contextualSpacing/>
    </w:pPr>
    <w:rPr>
      <w:rFonts w:ascii="Arial" w:hAnsi="Arial" w:cs="Arial" w:eastAsia="Heiti T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307" w:lineRule="auto" w:after="140"/>
      <w:contextualSpacing/>
    </w:pPr>
    <w:rPr>
      <w:rFonts w:ascii="Arial" w:hAnsi="Arial" w:cs="Arial" w:eastAsia="Heiti TC"/>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ibuildercup.com/Faqs.html" TargetMode="External"/><Relationship Id="rId11" Type="http://schemas.openxmlformats.org/officeDocument/2006/relationships/hyperlink" Target="https://aibuildercup.com/themes.html" TargetMode="External"/><Relationship Id="rId12" Type="http://schemas.openxmlformats.org/officeDocument/2006/relationships/hyperlink" Target="https://docs.google.com/document/d/e/2PACX-1vRm7ChZ6Ij9fG7uFDkxzUMpwgVeBmnQ6cMDnAIEEX84AiLBOOQ9cYbl3S5OzFBbcVb8TF55s-eVpiXb/pub" TargetMode="External"/><Relationship Id="rId13" Type="http://schemas.openxmlformats.org/officeDocument/2006/relationships/hyperlink" Target="https://aibuildercup.com/" TargetMode="External"/><Relationship Id="rId14" Type="http://schemas.openxmlformats.org/officeDocument/2006/relationships/hyperlink" Target="https://cloud.google.com/gemini-enterprise" TargetMode="External"/><Relationship Id="rId15" Type="http://schemas.openxmlformats.org/officeDocument/2006/relationships/hyperlink" Target="https://www.glean.com/ai-agents" TargetMode="External"/><Relationship Id="rId16" Type="http://schemas.openxmlformats.org/officeDocument/2006/relationships/hyperlink" Target="https://www.rocketlane.com/blogs/sales-to-customer-success-handoff" TargetMode="External"/><Relationship Id="rId17" Type="http://schemas.openxmlformats.org/officeDocument/2006/relationships/hyperlink" Target="https://docs.cloud.google.com/gemini-enterprise-agent-platform/models/capabilities/control-generated-output" TargetMode="External"/><Relationship Id="rId18" Type="http://schemas.openxmlformats.org/officeDocument/2006/relationships/hyperlink" Target="https://adk.dev/deploy/cloud-run/" TargetMode="External"/><Relationship Id="rId19" Type="http://schemas.openxmlformats.org/officeDocument/2006/relationships/hyperlink" Target="https://firebase.google.com/docs/firestore/manage-data/transactions" TargetMode="External"/><Relationship Id="rId20" Type="http://schemas.openxmlformats.org/officeDocument/2006/relationships/hyperlink" Target="https://firebase.google.com/docs/auth/admin/verify-id-tokens" TargetMode="External"/><Relationship Id="rId21" Type="http://schemas.openxmlformats.org/officeDocument/2006/relationships/hyperlink" Target="https://cloud.google.com/run/pricing" TargetMode="External"/><Relationship Id="rId22" Type="http://schemas.openxmlformats.org/officeDocument/2006/relationships/hyperlink" Target="https://docs.cloud.google.com/billing/docs/how-to/budg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Guard 參賽與開發計劃書</dc:title>
  <dc:subject>AI Builder Cup 2026 Future of Work and Enterprise Productivity</dc:subject>
  <dc:creator/>
  <cp:keywords>Handoff Guard, project plan, AI Builder Cup, 2026</cp:keywords>
  <dc:description/>
  <cp:lastModifiedBy/>
  <cp:revision>1</cp:revision>
  <dcterms:created xsi:type="dcterms:W3CDTF">2013-12-23T23:15:00Z</dcterms:created>
  <dcterms:modified xsi:type="dcterms:W3CDTF">2013-12-23T23:15:00Z</dcterms:modified>
  <cp:category/>
</cp:coreProperties>
</file>