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 Unicode MS" w:hint="eastAsia"/>
          <w:b w:val="0"/>
          <w:color w:val="000000"/>
          <w:sz w:val="42"/>
          <w:lang w:eastAsia="zh-TW"/>
        </w:rPr>
        <w:t>ContextRail 產品一頁式說明</w:t>
      </w:r>
    </w:p>
    <w:p>
      <w:r>
        <w:rPr>
          <w:rFonts w:ascii="Arial" w:hAnsi="Arial" w:eastAsia="Arial Unicode MS" w:hint="eastAsia"/>
          <w:b w:val="0"/>
          <w:color w:val="000000"/>
          <w:sz w:val="19"/>
          <w:lang w:eastAsia="zh-TW"/>
        </w:rPr>
        <w:t>版本 2.3｜日期 2026-09-12｜定位 Environment-aware Cloud-native AI Change Assurance｜Startup/SMB-first Cloud Run prototype</w:t>
      </w:r>
    </w:p>
    <w:p>
      <w:r>
        <w:rPr>
          <w:rFonts w:ascii="Arial" w:hAnsi="Arial" w:eastAsia="Arial Unicode MS" w:hint="eastAsia"/>
          <w:b w:val="0"/>
          <w:color w:val="000000"/>
          <w:sz w:val="19"/>
          <w:lang w:eastAsia="zh-TW"/>
        </w:rPr>
        <w:t xml:space="preserve">ContextRail 核對 AI 輔助變更的需求、架構、成本、Project 環境拓撲與發布身份；P0 先服務新創／中小企業的 5–30 人工程團隊，用 Project Registry 建立、查詢、修改與封存受管 Project，再以 Cloud Run 驗證至隔離 prod-demo smoke／Release Receipt。使用者可以為每個 Project 定義 Development、Testing、UAT、Staging、Production 或自訂環境，並為每個 promotion transition 設定必要證據與人工責任。同一份版本化 DecisionRecord 產生給人的 </w:t>
      </w:r>
      <w:r>
        <w:rPr>
          <w:rFonts w:ascii="Arial" w:hAnsi="Arial" w:eastAsia="Arial Unicode MS" w:hint="eastAsia"/>
          <w:b/>
          <w:color w:val="000000"/>
          <w:sz w:val="19"/>
          <w:lang w:eastAsia="zh-TW"/>
        </w:rPr>
        <w:t>Change Decision Brief</w:t>
      </w:r>
      <w:r>
        <w:rPr>
          <w:rFonts w:ascii="Arial" w:hAnsi="Arial" w:eastAsia="Arial Unicode MS" w:hint="eastAsia"/>
          <w:b w:val="0"/>
          <w:color w:val="000000"/>
          <w:sz w:val="19"/>
          <w:lang w:eastAsia="zh-TW"/>
        </w:rPr>
        <w:t xml:space="preserve"> 與給 Agent 的 </w:t>
      </w:r>
      <w:r>
        <w:rPr>
          <w:rFonts w:ascii="Arial" w:hAnsi="Arial" w:eastAsia="Arial Unicode MS" w:hint="eastAsia"/>
          <w:b/>
          <w:color w:val="000000"/>
          <w:sz w:val="19"/>
          <w:lang w:eastAsia="zh-TW"/>
        </w:rPr>
        <w:t>Agent Context Pack</w:t>
      </w:r>
      <w:r>
        <w:rPr>
          <w:rFonts w:ascii="Arial" w:hAnsi="Arial" w:eastAsia="Arial Unicode MS" w:hint="eastAsia"/>
          <w:b w:val="0"/>
          <w:color w:val="000000"/>
          <w:sz w:val="19"/>
          <w:lang w:eastAsia="zh-TW"/>
        </w:rPr>
        <w:t xml:space="preserve">，避免把自由文字報告當作雙重契約。封存不會刪除歷史決策、證據或 receipt；Project 更新會產生新版本並使受影響核准標記 </w:t>
      </w:r>
      <w:r>
        <w:rPr>
          <w:rFonts w:ascii="Arial" w:hAnsi="Arial" w:eastAsia="Arial Unicode MS" w:hint="eastAsia"/>
          <w:b w:val="0"/>
          <w:color w:val="000000"/>
          <w:sz w:val="19"/>
          <w:lang w:eastAsia="zh-TW"/>
        </w:rPr>
        <w:t>STALE</w:t>
      </w:r>
      <w:r>
        <w:rPr>
          <w:rFonts w:ascii="Arial" w:hAnsi="Arial" w:eastAsia="Arial Unicode MS" w:hint="eastAsia"/>
          <w:b w:val="0"/>
          <w:color w:val="000000"/>
          <w:sz w:val="19"/>
          <w:lang w:eastAsia="zh-TW"/>
        </w:rPr>
        <w:t>。大型企業的組織級權限、私有網路與多 provider 治理保留為後續 enterprise-ready extension，不是 P0 的必要條件。</w:t>
      </w:r>
    </w:p>
    <w:p>
      <w:pPr>
        <w:pStyle w:val="Heading1"/>
      </w:pPr>
      <w:r>
        <w:rPr>
          <w:rFonts w:ascii="Arial" w:hAnsi="Arial" w:eastAsia="Arial Unicode MS" w:hint="eastAsia"/>
          <w:b w:val="0"/>
          <w:color w:val="000000"/>
          <w:sz w:val="23"/>
          <w:lang w:eastAsia="zh-TW"/>
        </w:rPr>
        <w:t>目標使用者與問題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55" w:type="dxa"/>
          <w:right w:w="55" w:type="dxa"/>
        </w:tblCellMar>
      </w:tblPr>
      <w:tblGrid>
        <w:gridCol w:w="2232"/>
        <w:gridCol w:w="8280"/>
      </w:tblGrid>
      <w:tr>
        <w:trPr>
          <w:cantSplit/>
          <w:tblHeader/>
        </w:trPr>
        <w:tc>
          <w:tcPr>
            <w:tcW w:type="dxa" w:w="2232"/>
            <w:shd w:fill="23374D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TW"/>
              </w:rPr>
              <w:t>項目</w:t>
            </w:r>
          </w:p>
        </w:tc>
        <w:tc>
          <w:tcPr>
            <w:tcW w:type="dxa" w:w="8280"/>
            <w:shd w:fill="23374D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TW"/>
              </w:rPr>
              <w:t>說明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目標使用者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新創與中小企業優先</w:t>
            </w: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：內部系統或 B2B SaaS 的 5–30 人團隊；角色為 Solution Architect／Tech Lead／Delivery Architect；同一 Project 有兩個以上自訂交付環境，prototype 先用 Cloud Run。大型企業保留為後續擴展市場。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核心問題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AI 可以快速產生程式，但團隊不容易確認變更是否超出範圍、破壞架構、增加成本，或部署到錯誤的版本與設定。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導入切口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先從新創／中小企業的低風險、可回溯功能變更開始；一個 release 可包含 2–3 個 feature、需求變更或 bug fix，先治理 staging promotion，再以證據驗證是否值得擴展到大型企業。</w:t>
            </w:r>
          </w:p>
        </w:tc>
      </w:tr>
    </w:tbl>
    <w:p>
      <w:pPr>
        <w:pStyle w:val="Heading1"/>
      </w:pPr>
      <w:r>
        <w:rPr>
          <w:rFonts w:ascii="Arial" w:hAnsi="Arial" w:eastAsia="Arial Unicode MS" w:hint="eastAsia"/>
          <w:b w:val="0"/>
          <w:color w:val="000000"/>
          <w:sz w:val="23"/>
          <w:lang w:eastAsia="zh-TW"/>
        </w:rPr>
        <w:t>核心工作流</w:t>
      </w:r>
    </w:p>
    <w:p>
      <w:pPr>
        <w:pStyle w:val="ListNumber"/>
      </w:pPr>
      <w:r>
        <w:rPr>
          <w:rFonts w:ascii="Arial" w:hAnsi="Arial" w:eastAsia="Arial Unicode MS" w:hint="eastAsia"/>
          <w:b/>
          <w:color w:val="000000"/>
          <w:sz w:val="18"/>
          <w:lang w:eastAsia="zh-TW"/>
        </w:rPr>
        <w:t>管理 Project</w:t>
      </w:r>
      <w:r>
        <w:rPr>
          <w:rFonts w:ascii="Arial" w:hAnsi="Arial" w:eastAsia="Arial Unicode MS" w:hint="eastAsia"/>
          <w:b w:val="0"/>
          <w:color w:val="000000"/>
          <w:sz w:val="18"/>
          <w:lang w:eastAsia="zh-TW"/>
        </w:rPr>
        <w:t>：建立、查詢、修改或封存 Project；Project 是 Ticket、環境、政策、文件與證據的治理邊界，不是 Jira 替代品。</w:t>
      </w:r>
    </w:p>
    <w:p>
      <w:pPr>
        <w:pStyle w:val="ListNumber"/>
      </w:pPr>
      <w:r>
        <w:rPr>
          <w:rFonts w:ascii="Arial" w:hAnsi="Arial" w:eastAsia="Arial Unicode MS" w:hint="eastAsia"/>
          <w:b/>
          <w:color w:val="000000"/>
          <w:sz w:val="18"/>
          <w:lang w:eastAsia="zh-TW"/>
        </w:rPr>
        <w:t>定義 Project 環境</w:t>
      </w:r>
      <w:r>
        <w:rPr>
          <w:rFonts w:ascii="Arial" w:hAnsi="Arial" w:eastAsia="Arial Unicode MS" w:hint="eastAsia"/>
          <w:b w:val="0"/>
          <w:color w:val="000000"/>
          <w:sz w:val="18"/>
          <w:lang w:eastAsia="zh-TW"/>
        </w:rPr>
        <w:t>：建立環境名稱、標準類型、順序、target、allowed actions、必要證據與 approver policy。</w:t>
      </w:r>
    </w:p>
    <w:p>
      <w:pPr>
        <w:pStyle w:val="ListNumber"/>
      </w:pPr>
      <w:r>
        <w:rPr>
          <w:rFonts w:ascii="Arial" w:hAnsi="Arial" w:eastAsia="Arial Unicode MS" w:hint="eastAsia"/>
          <w:b/>
          <w:color w:val="000000"/>
          <w:sz w:val="18"/>
          <w:lang w:eastAsia="zh-TW"/>
        </w:rPr>
        <w:t>理解需求</w:t>
      </w:r>
      <w:r>
        <w:rPr>
          <w:rFonts w:ascii="Arial" w:hAnsi="Arial" w:eastAsia="Arial Unicode MS" w:hint="eastAsia"/>
          <w:b w:val="0"/>
          <w:color w:val="000000"/>
          <w:sz w:val="18"/>
          <w:lang w:eastAsia="zh-TW"/>
        </w:rPr>
        <w:t>：讀取已授權的需求、架構文件與政策來源，判斷變更影響哪些環境。</w:t>
      </w:r>
    </w:p>
    <w:p>
      <w:pPr>
        <w:pStyle w:val="ListNumber"/>
      </w:pPr>
      <w:r>
        <w:rPr>
          <w:rFonts w:ascii="Arial" w:hAnsi="Arial" w:eastAsia="Arial Unicode MS" w:hint="eastAsia"/>
          <w:b/>
          <w:color w:val="000000"/>
          <w:sz w:val="18"/>
          <w:lang w:eastAsia="zh-TW"/>
        </w:rPr>
        <w:t>評估變更</w:t>
      </w:r>
      <w:r>
        <w:rPr>
          <w:rFonts w:ascii="Arial" w:hAnsi="Arial" w:eastAsia="Arial Unicode MS" w:hint="eastAsia"/>
          <w:b w:val="0"/>
          <w:color w:val="000000"/>
          <w:sz w:val="18"/>
          <w:lang w:eastAsia="zh-TW"/>
        </w:rPr>
        <w:t>：Gemini 評估架構／成本／風險／未知項與 promotion path，產出可讀結論。</w:t>
      </w:r>
    </w:p>
    <w:p>
      <w:pPr>
        <w:pStyle w:val="ListNumber"/>
      </w:pPr>
      <w:r>
        <w:rPr>
          <w:rFonts w:ascii="Arial" w:hAnsi="Arial" w:eastAsia="Arial Unicode MS" w:hint="eastAsia"/>
          <w:b/>
          <w:color w:val="000000"/>
          <w:sz w:val="18"/>
          <w:lang w:eastAsia="zh-TW"/>
        </w:rPr>
        <w:t>人工接受</w:t>
      </w:r>
      <w:r>
        <w:rPr>
          <w:rFonts w:ascii="Arial" w:hAnsi="Arial" w:eastAsia="Arial Unicode MS" w:hint="eastAsia"/>
          <w:b w:val="0"/>
          <w:color w:val="000000"/>
          <w:sz w:val="18"/>
          <w:lang w:eastAsia="zh-TW"/>
        </w:rPr>
        <w:t>：人員接受或修改 Change Contract／DecisionRecord，同時產生雙視圖。</w:t>
      </w:r>
    </w:p>
    <w:p>
      <w:pPr>
        <w:pStyle w:val="ListNumber"/>
      </w:pPr>
      <w:r>
        <w:rPr>
          <w:rFonts w:ascii="Arial" w:hAnsi="Arial" w:eastAsia="Arial Unicode MS" w:hint="eastAsia"/>
          <w:b/>
          <w:color w:val="000000"/>
          <w:sz w:val="18"/>
          <w:lang w:eastAsia="zh-TW"/>
        </w:rPr>
        <w:t>限制實作</w:t>
      </w:r>
      <w:r>
        <w:rPr>
          <w:rFonts w:ascii="Arial" w:hAnsi="Arial" w:eastAsia="Arial Unicode MS" w:hint="eastAsia"/>
          <w:b w:val="0"/>
          <w:color w:val="000000"/>
          <w:sz w:val="18"/>
          <w:lang w:eastAsia="zh-TW"/>
        </w:rPr>
        <w:t>：Agent Context Pack 編譯 Work Order，限制 repo、branch、路徑、目標環境、驗收與禁止動作。</w:t>
      </w:r>
    </w:p>
    <w:p>
      <w:pPr>
        <w:pStyle w:val="ListNumber"/>
      </w:pPr>
      <w:r>
        <w:rPr>
          <w:rFonts w:ascii="Arial" w:hAnsi="Arial" w:eastAsia="Arial Unicode MS" w:hint="eastAsia"/>
          <w:b/>
          <w:color w:val="000000"/>
          <w:sz w:val="18"/>
          <w:lang w:eastAsia="zh-TW"/>
        </w:rPr>
        <w:t>驗證候選</w:t>
      </w:r>
      <w:r>
        <w:rPr>
          <w:rFonts w:ascii="Arial" w:hAnsi="Arial" w:eastAsia="Arial Unicode MS" w:hint="eastAsia"/>
          <w:b w:val="0"/>
          <w:color w:val="000000"/>
          <w:sz w:val="18"/>
          <w:lang w:eastAsia="zh-TW"/>
        </w:rPr>
        <w:t>：Claude Code 或其他 agent 建 feature branch／PR；核對 diff、測試、review、build identity 與環境證據。</w:t>
      </w:r>
    </w:p>
    <w:p>
      <w:pPr>
        <w:pStyle w:val="ListNumber"/>
      </w:pPr>
      <w:r>
        <w:rPr>
          <w:rFonts w:ascii="Arial" w:hAnsi="Arial" w:eastAsia="Arial Unicode MS" w:hint="eastAsia"/>
          <w:b/>
          <w:color w:val="000000"/>
          <w:sz w:val="18"/>
          <w:lang w:eastAsia="zh-TW"/>
        </w:rPr>
        <w:t>Staging gate</w:t>
      </w:r>
      <w:r>
        <w:rPr>
          <w:rFonts w:ascii="Arial" w:hAnsi="Arial" w:eastAsia="Arial Unicode MS" w:hint="eastAsia"/>
          <w:b w:val="0"/>
          <w:color w:val="000000"/>
          <w:sz w:val="18"/>
          <w:lang w:eastAsia="zh-TW"/>
        </w:rPr>
        <w:t>：核准 digest 與 staging 設定，產生 staging evidence；不等於正式發布。</w:t>
      </w:r>
    </w:p>
    <w:p>
      <w:pPr>
        <w:pStyle w:val="ListNumber"/>
      </w:pPr>
      <w:r>
        <w:rPr>
          <w:rFonts w:ascii="Arial" w:hAnsi="Arial" w:eastAsia="Arial Unicode MS" w:hint="eastAsia"/>
          <w:b/>
          <w:color w:val="000000"/>
          <w:sz w:val="18"/>
          <w:lang w:eastAsia="zh-TW"/>
        </w:rPr>
        <w:t>受控 promotion</w:t>
      </w:r>
      <w:r>
        <w:rPr>
          <w:rFonts w:ascii="Arial" w:hAnsi="Arial" w:eastAsia="Arial Unicode MS" w:hint="eastAsia"/>
          <w:b w:val="0"/>
          <w:color w:val="000000"/>
          <w:sz w:val="18"/>
          <w:lang w:eastAsia="zh-TW"/>
        </w:rPr>
        <w:t>：Release Approver 核對 policy 與設定差異，以同 digest 部署隔離 prod-demo；smoke 後產生 Receipt。Production 在 P0 只保持 read-only／blocked。</w:t>
      </w:r>
    </w:p>
    <w:p>
      <w:pPr>
        <w:pStyle w:val="Heading1"/>
      </w:pPr>
      <w:r>
        <w:rPr>
          <w:rFonts w:ascii="Arial" w:hAnsi="Arial" w:eastAsia="Arial Unicode MS" w:hint="eastAsia"/>
          <w:b w:val="0"/>
          <w:color w:val="000000"/>
          <w:sz w:val="23"/>
          <w:lang w:eastAsia="zh-TW"/>
        </w:rPr>
        <w:t>Demo 情境與可見成果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55" w:type="dxa"/>
          <w:right w:w="55" w:type="dxa"/>
        </w:tblCellMar>
      </w:tblPr>
      <w:tblGrid>
        <w:gridCol w:w="2232"/>
        <w:gridCol w:w="8280"/>
      </w:tblGrid>
      <w:tr>
        <w:trPr>
          <w:cantSplit/>
          <w:tblHeader/>
        </w:trPr>
        <w:tc>
          <w:tcPr>
            <w:tcW w:type="dxa" w:w="2232"/>
            <w:shd w:fill="23374D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TW"/>
              </w:rPr>
              <w:t>Demo</w:t>
            </w:r>
          </w:p>
        </w:tc>
        <w:tc>
          <w:tcPr>
            <w:tcW w:type="dxa" w:w="8280"/>
            <w:shd w:fill="23374D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TW"/>
              </w:rPr>
              <w:t>可見成果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內部簽核系統新增附件功能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Brief 說明方案與成本；Pack 保存 scope、path、test、policy，涵蓋 Cloud Storage／權限／保存規則；Topology 顯示目前只能由 Staging 進入隔離 prod-demo。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Agent 修改超出允許路徑，或需求文件已更新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Pack 阻擋候選；Brief 用一般語言說明原因、風險與決策人。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合法變更完成驗證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2–3 個 Change 組成的 Release Bundle 通過各自 gate 後，Project topology→需求→決策→PR→測試→digest→revision 可回查並產生 Receipt。</w:t>
            </w:r>
          </w:p>
        </w:tc>
      </w:tr>
    </w:tbl>
    <w:p>
      <w:pPr>
        <w:pStyle w:val="Heading1"/>
      </w:pPr>
      <w:r>
        <w:rPr>
          <w:rFonts w:ascii="Arial" w:hAnsi="Arial" w:eastAsia="Arial Unicode MS" w:hint="eastAsia"/>
          <w:b w:val="0"/>
          <w:color w:val="000000"/>
          <w:sz w:val="23"/>
          <w:lang w:eastAsia="zh-TW"/>
        </w:rPr>
        <w:t>產品產出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55" w:type="dxa"/>
          <w:right w:w="55" w:type="dxa"/>
        </w:tblCellMar>
      </w:tblPr>
      <w:tblGrid>
        <w:gridCol w:w="2232"/>
        <w:gridCol w:w="8280"/>
      </w:tblGrid>
      <w:tr>
        <w:trPr>
          <w:cantSplit/>
          <w:tblHeader/>
        </w:trPr>
        <w:tc>
          <w:tcPr>
            <w:tcW w:type="dxa" w:w="2232"/>
            <w:shd w:fill="23374D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TW"/>
              </w:rPr>
              <w:t>產出</w:t>
            </w:r>
          </w:p>
        </w:tc>
        <w:tc>
          <w:tcPr>
            <w:tcW w:type="dxa" w:w="8280"/>
            <w:shd w:fill="23374D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TW"/>
              </w:rPr>
              <w:t>用途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Project Registry／Workspace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Registry 管理受管 Project 的生命週期；Workspace 顯示該 Project 的 Ticket、環境、gate、風險與證據。封存保留歷史，Project 設定版本變更會觸發 stale propagation。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Change Decision Pack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 xml:space="preserve">同一份版本化 DecisionRecord 渲染 Brief 與 Pack；共享 </w:t>
            </w: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decision_id</w:t>
            </w: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、版本、</w:t>
            </w: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source_snapshot_hash</w:t>
            </w: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、</w:t>
            </w: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evidence_refs</w:t>
            </w: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。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Environment Topology &amp; Promotion Policy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Project 的環境定義、順序、target、必要證據、允許動作與 approver separation；不是 IaC 或 deployment source of truth。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Agent Work Order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將 Pack 編譯成有範圍、期限與禁止動作的契約；不含 secret，不授予核准、IAM 或發布權。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Engineering Evidence Bundle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彙整 PR、diff、測試、獨立 review、build 與執行聲明，連回同一決策。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Release Bundle／Release Receipt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Release Bundle 聚合一次 release 的多個 Change，但保留各自 scope 與 gate；Receipt 關聯核准 commit、digest、環境差異與 Cloud Run revision，保留人類摘要與機器欄位。</w:t>
            </w:r>
          </w:p>
        </w:tc>
      </w:tr>
    </w:tbl>
    <w:p>
      <w:pPr>
        <w:pStyle w:val="Heading1"/>
      </w:pPr>
      <w:r>
        <w:rPr>
          <w:rFonts w:ascii="Arial" w:hAnsi="Arial" w:eastAsia="Arial Unicode MS" w:hint="eastAsia"/>
          <w:b w:val="0"/>
          <w:color w:val="000000"/>
          <w:sz w:val="23"/>
          <w:lang w:eastAsia="zh-TW"/>
        </w:rPr>
        <w:t>產品亮點與技術架構</w:t>
      </w:r>
    </w:p>
    <w:p>
      <w:r>
        <w:rPr>
          <w:rFonts w:ascii="Arial" w:hAnsi="Arial" w:eastAsia="Arial Unicode MS" w:hint="eastAsia"/>
          <w:b/>
          <w:color w:val="000000"/>
          <w:sz w:val="19"/>
          <w:lang w:eastAsia="zh-TW"/>
        </w:rPr>
        <w:t>產品亮點</w:t>
      </w:r>
      <w:r>
        <w:rPr>
          <w:rFonts w:ascii="Arial" w:hAnsi="Arial" w:eastAsia="Arial Unicode MS" w:hint="eastAsia"/>
          <w:b w:val="0"/>
          <w:color w:val="000000"/>
          <w:sz w:val="19"/>
          <w:lang w:eastAsia="zh-TW"/>
        </w:rPr>
        <w:t>：Project 是治理邊界，不是單純資料夾；同一決策雙視圖——人先看結論／影響／風險／決策人／下一步，Agent 取得 scope／path／test／policy 契約；同一 Project 可自訂環境，但每次 promotion 都必須滿足環境專屬證據與人工 gate，核准意圖至 revision 可回查；Release Bundle 讓小型團隊一次 release 包含多個 Change，卻不犧牲逐 Change 的責任與證據。P0 是受限 AINE assurance slice；技術 prototype 為 Go／React、Gemini、Cloud Run，不取代 coding agent、PR review 或 CI/CD。</w:t>
      </w:r>
    </w:p>
    <w:p>
      <w:r>
        <w:rPr>
          <w:rFonts w:ascii="Arial" w:hAnsi="Arial" w:eastAsia="Arial Unicode MS" w:hint="eastAsia"/>
          <w:b w:val="0"/>
          <w:color w:val="000000"/>
          <w:sz w:val="19"/>
          <w:lang w:eastAsia="zh-TW"/>
        </w:rPr>
        <w:t>真正的 niche 不是「有四個環境」，而是「把 AI 變更穿越企業自訂環境時的意圖、證據與責任綁在同一份決策記錄」；若只需要狀態儀表板，應使用既有 CI／Cloud Deploy 或把 ContextRail 縮成 policy connector。</w:t>
      </w:r>
    </w:p>
    <w:p>
      <w:pPr>
        <w:pStyle w:val="Heading1"/>
      </w:pPr>
      <w:r>
        <w:rPr>
          <w:rFonts w:ascii="Arial" w:hAnsi="Arial" w:eastAsia="Arial Unicode MS" w:hint="eastAsia"/>
          <w:b w:val="0"/>
          <w:color w:val="000000"/>
          <w:sz w:val="23"/>
          <w:lang w:eastAsia="zh-TW"/>
        </w:rPr>
        <w:t>核心範圍與延伸邊界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55" w:type="dxa"/>
          <w:right w:w="55" w:type="dxa"/>
        </w:tblCellMar>
      </w:tblPr>
      <w:tblGrid>
        <w:gridCol w:w="2232"/>
        <w:gridCol w:w="8280"/>
      </w:tblGrid>
      <w:tr>
        <w:trPr>
          <w:cantSplit/>
          <w:tblHeader/>
        </w:trPr>
        <w:tc>
          <w:tcPr>
            <w:tcW w:type="dxa" w:w="2232"/>
            <w:shd w:fill="23374D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TW"/>
              </w:rPr>
              <w:t>核心交付</w:t>
            </w:r>
          </w:p>
        </w:tc>
        <w:tc>
          <w:tcPr>
            <w:tcW w:type="dxa" w:w="8280"/>
            <w:shd w:fill="23374D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TW"/>
              </w:rPr>
              <w:t>延伸邊界</w:t>
            </w:r>
          </w:p>
        </w:tc>
      </w:tr>
      <w:tr>
        <w:trPr>
          <w:cantSplit/>
        </w:trPr>
        <w:tc>
          <w:tcPr>
            <w:tcW w:type="dxa" w:w="2232"/>
            <w:shd w:fill="EAF1F8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/>
                <w:color w:val="000000"/>
                <w:sz w:val="16"/>
                <w:lang w:eastAsia="zh-TW"/>
              </w:rPr>
              <w:t>P0：一個 Project、一個 repo、一個新創／SMB 內部系統主案例加一次案例驗證；Project CRUD／封存、四環境 topology／promotion policy、DecisionRecord／雙視圖、RAG、架構／成本、Work Order、PR／review evidence、2–3 Change Release Bundle、staging、prod-demo smoke、Release Receipt。</w:t>
            </w:r>
          </w:p>
        </w:tc>
        <w:tc>
          <w:tcPr>
            <w:tcW w:type="dxa" w:w="8280"/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TW"/>
              </w:rPr>
              <w:t>P1 只有 G4 PASS、300 人時、保留 40 人時緩衝且契約／API／IAM／location 已驗證後選一項；大型企業組織級權限、完整環境管理、多租戶、任意 agent、內網 connector、hard delete、跨資源 rollback 不在本次。</w:t>
            </w:r>
          </w:p>
        </w:tc>
      </w:tr>
    </w:tbl>
    <w:p>
      <w:pPr>
        <w:pStyle w:val="Heading1"/>
      </w:pPr>
      <w:r>
        <w:rPr>
          <w:rFonts w:ascii="Arial" w:hAnsi="Arial" w:eastAsia="Arial Unicode MS" w:hint="eastAsia"/>
          <w:b w:val="0"/>
          <w:color w:val="000000"/>
          <w:sz w:val="23"/>
          <w:lang w:eastAsia="zh-TW"/>
        </w:rPr>
        <w:t>文件同步</w:t>
      </w:r>
    </w:p>
    <w:p>
      <w:r>
        <w:rPr>
          <w:rFonts w:ascii="Arial" w:hAnsi="Arial" w:eastAsia="Arial Unicode MS" w:hint="eastAsia"/>
          <w:b w:val="0"/>
          <w:color w:val="000000"/>
          <w:sz w:val="19"/>
          <w:lang w:eastAsia="zh-TW"/>
        </w:rPr>
        <w:t>同步來源：Vision v3.2、Roadmap v1.1、Architecture v1.1、Project Plan v4.2、Critical Review v2.3；Markdown 是內容真相源，Word 版由 Markdown 再生。</w:t>
      </w:r>
    </w:p>
    <w:sectPr w:rsidR="00FC693F" w:rsidRPr="0006063C" w:rsidSect="00034616">
      <w:footerReference w:type="default" r:id="rId9"/>
      <w:pgSz w:w="12240" w:h="15840"/>
      <w:pgMar w:top="504" w:right="864" w:bottom="504" w:left="864" w:header="720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 w:hint="eastAsia"/>
        <w:color w:val="666666"/>
        <w:sz w:val="15"/>
        <w:lang w:eastAsia="zh-TW"/>
      </w:rPr>
      <w:t xml:space="preserve">ContextRail Product Brief v2.3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40"/>
      <w:jc w:val="left"/>
    </w:pPr>
    <w:rPr>
      <w:rFonts w:ascii="Arial" w:hAnsi="Arial" w:eastAsia="Arial Unicode MS" w:hint="eastAsi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60" w:after="20"/>
      <w:jc w:val="left"/>
      <w:outlineLvl w:val="0"/>
    </w:pPr>
    <w:rPr>
      <w:rFonts w:ascii="Arial" w:hAnsi="Arial" w:eastAsia="Arial Unicode MS" w:hint="eastAsia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60" w:after="20"/>
      <w:jc w:val="left"/>
      <w:outlineLvl w:val="1"/>
    </w:pPr>
    <w:rPr>
      <w:rFonts w:ascii="Arial" w:hAnsi="Arial" w:eastAsia="Arial Unicode MS" w:hint="eastAsia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60" w:after="20"/>
      <w:jc w:val="left"/>
      <w:outlineLvl w:val="2"/>
    </w:pPr>
    <w:rPr>
      <w:rFonts w:ascii="Arial" w:hAnsi="Arial" w:eastAsia="Arial Unicode MS" w:hint="eastAsia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" w:line="240" w:lineRule="auto"/>
      <w:contextualSpacing/>
      <w:jc w:val="left"/>
    </w:pPr>
    <w:rPr>
      <w:rFonts w:ascii="Arial" w:hAnsi="Arial" w:eastAsia="Arial Unicode MS" w:hint="eastAsia"/>
      <w:b/>
      <w:color w:val="000000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/>
      <w:jc w:val="left"/>
    </w:pPr>
    <w:rPr>
      <w:rFonts w:ascii="Arial" w:hAnsi="Arial" w:eastAsia="Arial Unicode MS" w:hint="eastAsia"/>
      <w:i w:val="0"/>
      <w:iCs/>
      <w:color w:val="000000"/>
      <w:spacing w:val="15"/>
      <w:sz w:val="1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0" w:line="240" w:lineRule="auto"/>
      <w:ind w:left="259" w:hanging="173"/>
      <w:contextualSpacing/>
      <w:jc w:val="left"/>
    </w:pPr>
    <w:rPr>
      <w:rFonts w:ascii="Arial" w:hAnsi="Arial" w:eastAsia="Arial Unicode MS" w:hint="eastAsia"/>
      <w:color w:val="000000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0" w:line="240" w:lineRule="auto"/>
      <w:ind w:left="259" w:hanging="173"/>
      <w:contextualSpacing/>
      <w:jc w:val="left"/>
    </w:pPr>
    <w:rPr>
      <w:rFonts w:ascii="Arial" w:hAnsi="Arial" w:eastAsia="Arial Unicode MS" w:hint="eastAsia"/>
      <w:color w:val="000000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ContextRail 產品一頁式說明 v2.3</dc:title>
  <dc:subject>Environment-aware AI Change Assurance for Cloud-native Business Systems</dc:subject>
  <dc:creator>ContextRail</dc:creator>
  <cp:keywords>Environment Topology; Promotion Policy; AI Change Assurance; Gemini; Cloud Run; Go; agent work order; release assurance</cp:keywords>
  <dc:description>Generated from canonical Markdown; source SHA256 ddd4d493aee6eee0f4b1c348ed3a3c9e7d12a4259d8827f8c9787d1e981f90a6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