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140" w:before="0" w:line="300" w:lineRule="auto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30"/>
          <w:szCs w:val="30"/>
        </w:rPr>
        <w:t xml:space="preserve">尚 霖 盈 和</w:t>
      </w:r>
    </w:p>
    <w:p>
      <w:pPr>
        <w:spacing w:after="120" w:before="0" w:line="300" w:lineRule="auto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60"/>
          <w:szCs w:val="60"/>
        </w:rPr>
        <w:t xml:space="preserve">数字化建设方案</w:t>
      </w:r>
    </w:p>
    <w:p>
      <w:pPr>
        <w:pBdr>
          <w:bottom w:val="single" w:color="1F3864" w:sz="12" w:space="8"/>
        </w:pBdr>
        <w:spacing w:after="60"/>
        <w:jc w:val="center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12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44546A"/>
          <w:sz w:val="24"/>
          <w:szCs w:val="24"/>
        </w:rPr>
        <w:t xml:space="preserve">以商品运营为核心 · 分阶段构建数据驱动的零售运营能力</w:t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瞄准滞销 · 激活会员 · 沉淀统一数据基座</w:t>
      </w:r>
    </w:p>
    <w:p>
      <w:pPr>
        <w:spacing w:after="14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595959"/>
          <w:sz w:val="21"/>
          <w:szCs w:val="21"/>
        </w:rPr>
        <w:t xml:space="preserve">适用主体：尚霖盈和（长株潭中高端/设计师女装独家代理）</w:t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595959"/>
          <w:sz w:val="21"/>
          <w:szCs w:val="21"/>
        </w:rPr>
        <w:t xml:space="preserve">文档版本：V1.0（讨论稿）</w:t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595959"/>
          <w:sz w:val="21"/>
          <w:szCs w:val="21"/>
        </w:rPr>
        <w:t xml:space="preserve">编制日期：2026 年 6 月</w:t>
      </w:r>
    </w:p>
    <w:p>
      <w:pPr>
        <w:spacing w:after="60" w:before="0" w:line="320"/>
        <w:jc w:val="center"/>
      </w:pPr>
      <w:r>
        <w:rPr>
          <w:rFonts w:ascii="微软雅黑" w:cs="微软雅黑" w:eastAsia="微软雅黑" w:hAnsi="微软雅黑"/>
          <w:color w:val="595959"/>
          <w:sz w:val="21"/>
          <w:szCs w:val="21"/>
        </w:rPr>
        <w:t xml:space="preserve">密级：公司内部 · 仅限管理层及项目组传阅</w:t>
      </w:r>
    </w:p>
    <w:p>
      <w:r>
        <w:br w:type="page"/>
      </w:r>
    </w:p>
    <w:p>
      <w:pPr>
        <w:spacing w:after="80" w:before="0" w:line="32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30"/>
          <w:szCs w:val="30"/>
        </w:rPr>
        <w:t xml:space="preserve">目  录</w:t>
      </w:r>
    </w:p>
    <w:p>
      <w:pPr>
        <w:pBdr>
          <w:bottom w:val="single" w:color="8EAADB" w:sz="6" w:space="6"/>
        </w:pBdr>
        <w:spacing w:after="200"/>
        <w:jc w:val="center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sdt>
      <w:sdtPr>
        <w:alias w:val="目录（在 Word 中按 F9 或打开时选择“更新域”可生成页码）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一、方案概要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1.1 背景与症结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尚霖盈和是长株潭区域中高端/设计师女装的独家代理商，年销售额约 5 亿元、门店约 60 家、员工约 300 人，代理 DAZZLE、dzzit、JNBY、播 Broadcast、ARIOSE YEARS、REVAN 等品牌并运营自主品牌 AMIA。公司采用买断经销模式，所有库存风险由我方承担——这意味着每一次选品失误、每一次季中处理不及时，最终都直接体现为公司的真实亏损。这是理解本方案一切优先级的根本前提。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当前最大的症结是滞销。</w:t>
      </w:r>
      <w:r>
        <w:rPr>
          <w:rFonts w:ascii="微软雅黑" w:cs="微软雅黑" w:eastAsia="微软雅黑" w:hAnsi="微软雅黑"/>
          <w:sz w:val="21"/>
          <w:szCs w:val="21"/>
        </w:rPr>
        <w:t xml:space="preserve">按吊牌价计，沉淀滞销已超过 2000 万元，对应成本约 700–800 万元。其根因有二：前端在订货会上选品主要靠经验（由商品经理、品牌经理与高销共同拍板，缺乏结构化的历史战绩支撑），后端在商品生命周期内的打折、调店、调拨、补货又不够及时。与此同时，商品运营缺乏实时可视的系统支撑、十万会员有分层标签却尚未接入自动化触达、关键决策普遍依赖手工 Excel 与个人经验。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1.2 数字化目标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本方案不追求“为建而建”的大平台，而是围绕业务价值、用好现有的伯俊 ERP + 驿氪 CRM + 企业微信资产，分阶段、小步快跑地构建数据驱动的运营能力。按照已对齐的优先级，聚焦三大核心工程：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360"/>
        <w:gridCol w:w="900"/>
      </w:tblGrid>
      <w:tr>
        <w:trPr>
          <w:tblHeader/>
        </w:trP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核心工程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针对的核心痛点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关键产出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工程一
商品运营效率底座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2000 万滞销；商品运营无系统支撑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实时商品健康度看板 + 季中行动清单（折扣/调店/调拨/补货触发规则）；结构化历史战绩库支撑订货会选品复盘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工程二
会员精准营销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会员未激活；过季库存需温和消化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驿氪自动化触达旅程 + 导购私域赋能（任务派发/素材库/利益绑定）；过季库存私域定向消化机制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549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工程三
统一数据基座与口径治理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无统一数据/分析层；口径不一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统一指标字典（含 SKC/SKU 口径）+ 轻量数据分析层，替代手工 Excel；随业务目标生长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44546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30" w:before="12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三大工程相互咬合：工程三为工程一、工程二提供可信的统一数据底座；工程一识别“该清的货”，工程二识别“接得住的人”，二者协同实现过季库存的私域定向消化——既回笼现金，又不以无差别打折损伤中高端价格形象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1.3 预期价值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价值集中在四个方向，且以滞销改善为最大杠杆：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存量回收：通过私域定向 + 渠道组合温和消化已沉淀的 700–800 万成本库存，回笼现金、释放资金与门店陈列空间。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增量拦截（最大价值）：以历史战绩支撑选品、以季中行动清单及时止损，从源头降低每年新增滞销的生成率。在 5 亿体量上，滞销率哪怕小幅下降，年化减亏即达数百万元量级。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会员激活：十万会员接入自动化触达、近 3 万高频私域由导购精细运营，带动复购与连带提升。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人效与决策：以统一口径的实时看板替代手工 Excel 拼表，让商品、会员、财务从“做报表”转向“做决策”，决策更快、口径更稳。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1.4 关键成功要素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三大工程均横跨商品、会员、IT 三个领域，而公司当前数据按部门分管、IT 能力有限、缺乏跨域数据角色。因此本方案能否落地，最关键的前提是组织保障：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一把手授权的跨域负责人或核心小组，拥有统一口径的最终裁定权与跨部门协调权，直接向一把手汇报。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口径先行：先把 SKC/SKU、售罄率、动销率、折扣率等核心口径统一并文档化，再谈看板与模型。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业务驱动、小步快跑：先看板后模型、先核心品类后全量，每个阶段都交付可见的业务价值（快赢），用成果换取一线的信任与采纳。</w:t>
      </w:r>
    </w:p>
    <w:p>
      <w:pPr>
        <w:spacing w:after="130" w:before="8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整体节奏建议以下一季订货会为时间锚点倒排：用 6–12 个月完成奠基与前两大工程的核心能力，确保“数据支撑的订货会”如期落地。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二、现状诊断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2.1 公司与业务模式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尚霖盈和定位中高端/设计师女装零售代理，为长株潭区域（省级区域）独家代理，以购物中心店为主、少量奥莱店，单品牌单店、不混店；大店约 10 名导购、小店约 5 名，导购提成约 6 个点。代理品牌包括 DAZZLE、dzzit、JNBY、播 Broadcast、ARIOSE YEARS、REVAN，并运营体量较小的自主品牌 AMIA。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核心约束——买断经销，库存风险在我方。</w:t>
      </w:r>
      <w:r>
        <w:rPr>
          <w:rFonts w:ascii="微软雅黑" w:cs="微软雅黑" w:eastAsia="微软雅黑" w:hAnsi="微软雅黑"/>
          <w:sz w:val="21"/>
          <w:szCs w:val="21"/>
        </w:rPr>
        <w:t xml:space="preserve">公司向品牌方买断进货，滞销即我方亏损。因此与“轻代理/联营”模式不同，尚霖盈和的数字化价值首先要回答一个问题：如何让买进来的每一件货，更可能卖得掉、卖得早、卖得不亏。这决定了本方案把商品运营、尤其是选品与季中处理放在第一优先级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2.2 系统现状盘点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公司已具备相当扎实的系统底子，交易、商品、库存、会员等核心数据齐全，且关键系统之间已打通。真正缺失的不是“某个系统”，而是把分散数据汇聚起来、统一口径、转化为决策的分析层与机制。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系统 / 资产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覆盖范围与数据资产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现状与缺口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伯俊 ERP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POS、采购、销售、库存、调拨、盘点、出入库、分拣等；交易、商品、库存数据完整。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交易与库存数据齐全，是商品域分析的主数据源；缺面向运营决策的实时可视层。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驿氪 CRM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 10 万+，已有会员分层与标签。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分层标签已具备，但尚无自动化营销/触达，会员资产基本处于“沉睡”状态。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企业微信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已与驿氪打通，导购私域有效会员近 3 万。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最高频可触达资产，但集中在导购个人手中，缺统一的任务派发、素材与运营管理。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系统打通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 ↔ 驿氪 已打通（会员身份与交易可对应）；企微 ↔ 驿氪 已打通。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底层链路已通，具备建设统一分析层与会员自动化的良好基础，无需推倒重来。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数据与分析</w:t>
            </w:r>
          </w:p>
        </w:tc>
        <w:tc>
          <w:tcPr>
            <w:tcW w:type="dxa" w:w="4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无统一数据/分析层；报表靠手工 Excel 拼。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口径不统一、按部门分管（财务/会员/商品/IT）；IT 有专职但能力有限，无跨域数据角色。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2.3 核心痛点与根因（按金额排序）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痛点一：滞销严重（金额最大）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沉淀滞销按吊牌价超过 2000 万元，成本约 700–800 万元。在买断模式下，这是直接的真实亏损与资金占用。根因可拆为前后两端：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前端·源头：</w:t>
      </w:r>
      <w:r>
        <w:rPr>
          <w:rFonts w:ascii="微软雅黑" w:cs="微软雅黑" w:eastAsia="微软雅黑" w:hAnsi="微软雅黑"/>
          <w:sz w:val="21"/>
          <w:szCs w:val="21"/>
        </w:rPr>
        <w:t xml:space="preserve">订货会选品靠经验。由商品经理 + 品牌经理 + 高销共同决定，缺乏结构化的历史战绩支撑——“哪类版型/价格带/品类历史上卖得好、卖得早、不打折就能售罄”没有数据可查，只能凭印象与直觉，命中率难以稳定。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后端·生命周期：</w:t>
      </w:r>
      <w:r>
        <w:rPr>
          <w:rFonts w:ascii="微软雅黑" w:cs="微软雅黑" w:eastAsia="微软雅黑" w:hAnsi="微软雅黑"/>
          <w:sz w:val="21"/>
          <w:szCs w:val="21"/>
        </w:rPr>
        <w:t xml:space="preserve">商品上市后的打折、调店、调拨、补货不够及时。卖得好的店缺货却没及时补/调，卖不动的店压货却没及时处理，断码的款没及时归集，过季的款没及时清理——错过最佳处理窗口，滞销由此累积。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痛点二：商品运营效率无系统支撑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折扣、售罄、库存周转等关键指标缺乏实时可视与统一口径，商品经理难以及时发现问题、缺乏行动依据。决策依赖事后拼出的 Excel，往往“看到时已经晚了”。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痛点三：会员营销未激活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驿氪已有 10 万+ 会员及分层标签，却没有自动化触达，营销靠零散人工动作；真正可高频触达的私域约 3 万，且集中在导购手中，缺乏统一调度与赋能。庞大的会员资产与最值钱的私域资产都未被系统性激活，过季库存也缺少温和、定向的消化出口。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痛点四：决策方式以经验为主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关键决策（尤其是选品）主要靠报表 + 经验、甚至“拍脑袋”。经验本身是宝贵资产，但缺乏数据校准时，难以复制、难以纠偏，也难以沉淀传承。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2.4 根因归一：三个“缺”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四大痛点表象不同，根因可归结为三个“缺”，而本方案正是针对这三点同步发力：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缺统一、可信的数据与口径——同一指标各部门口径不一、靠手工拼表，数据难以支撑决策。（→ 工程三）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缺把数据变成行动的机制——即便有数据，也没有“看板 → 触发规则 → 行动清单 → 例会复盘”的闭环把它落到具体动作。（→ 工程一、工程二）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缺跨域统筹的人与权——商品/会员/IT 各管一摊，没有一把手授权、握有统一口径的跨域角色来牵头。（→ 组织保障）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三、总体思路与蓝图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业务驱动，不为建而建。</w:t>
      </w:r>
      <w:r>
        <w:rPr>
          <w:rFonts w:ascii="微软雅黑" w:cs="微软雅黑" w:eastAsia="微软雅黑" w:hAnsi="微软雅黑"/>
          <w:sz w:val="21"/>
          <w:szCs w:val="21"/>
        </w:rPr>
        <w:t xml:space="preserve">一切建设都服务于明确的业务价值（首要是减滞销、激活会员），数据基座随业务目标生长，不追求一步到位的大平台。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用好存量，不推倒重来。</w:t>
      </w:r>
      <w:r>
        <w:rPr>
          <w:rFonts w:ascii="微软雅黑" w:cs="微软雅黑" w:eastAsia="微软雅黑" w:hAnsi="微软雅黑"/>
          <w:sz w:val="21"/>
          <w:szCs w:val="21"/>
        </w:rPr>
        <w:t xml:space="preserve">在已打通的伯俊 + 驿氪 + 企微之上叠加分析与应用层，最大化复用既有投资与数据资产。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小步快跑，先看板后模型。</w:t>
      </w:r>
      <w:r>
        <w:rPr>
          <w:rFonts w:ascii="微软雅黑" w:cs="微软雅黑" w:eastAsia="微软雅黑" w:hAnsi="微软雅黑"/>
          <w:sz w:val="21"/>
          <w:szCs w:val="21"/>
        </w:rPr>
        <w:t xml:space="preserve">先把实时看板与行动清单做出来产生价值，再逐步引入选品打分、销售预测等模型；先核心品类/品牌试点，再扩展全量。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保护品牌调性。</w:t>
      </w:r>
      <w:r>
        <w:rPr>
          <w:rFonts w:ascii="微软雅黑" w:cs="微软雅黑" w:eastAsia="微软雅黑" w:hAnsi="微软雅黑"/>
          <w:sz w:val="21"/>
          <w:szCs w:val="21"/>
        </w:rPr>
        <w:t xml:space="preserve">中高端定位忌无差别打折损伤价格形象，清货倾向私域定向；所有营销动作以维护价格体系与会员体验为前提。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b/>
          <w:bCs/>
          <w:color w:val="44546A"/>
          <w:sz w:val="21"/>
          <w:szCs w:val="21"/>
        </w:rPr>
        <w:t xml:space="preserve">口径统一，单一事实来源。</w:t>
      </w:r>
      <w:r>
        <w:rPr>
          <w:rFonts w:ascii="微软雅黑" w:cs="微软雅黑" w:eastAsia="微软雅黑" w:hAnsi="微软雅黑"/>
          <w:sz w:val="21"/>
          <w:szCs w:val="21"/>
        </w:rPr>
        <w:t xml:space="preserve">先统一术语与指标口径（SKC/SKU、售罄率、动销率、折扣率等），所有看板与决策基于同一套定义。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3.2 总体蓝图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总体架构在现有系统之上，自下而上分为四层，并以“组织与数据治理”贯穿全局。建设顺序自下而上：先打通数据与口径，再做能力与应用，最终支撑业务决策与执行。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DCE6F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19"/>
                <w:szCs w:val="19"/>
              </w:rPr>
              <w:t xml:space="preserve">决策与执行层</w:t>
            </w:r>
          </w:p>
        </w:tc>
        <w:tc>
          <w:tcPr>
            <w:tcW w:type="dxa" w:w="6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DCE6F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color w:val="1F3864"/>
                <w:sz w:val="19"/>
                <w:szCs w:val="19"/>
              </w:rPr>
              <w:t xml:space="preserve">商品经理季中决策 · 订货会选品复盘 · 会员运营 · 导购一线执行</w:t>
            </w:r>
          </w:p>
        </w:tc>
      </w:tr>
      <w:tr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B4C7E7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19"/>
                <w:szCs w:val="19"/>
              </w:rPr>
              <w:t xml:space="preserve">能力与应用层（三大工程产出）</w:t>
            </w:r>
          </w:p>
        </w:tc>
        <w:tc>
          <w:tcPr>
            <w:tcW w:type="dxa" w:w="6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B4C7E7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color w:val="1F3864"/>
                <w:sz w:val="19"/>
                <w:szCs w:val="19"/>
              </w:rPr>
              <w:t xml:space="preserve">商品健康度看板与行动清单 · 历史战绩库与选品支撑 · 会员自动化触达 · 导购私域赋能 · 过季库存定向消化</w:t>
            </w:r>
          </w:p>
        </w:tc>
      </w:tr>
      <w:tr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8EAAD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数据整合与口径层</w:t>
            </w:r>
          </w:p>
        </w:tc>
        <w:tc>
          <w:tcPr>
            <w:tcW w:type="dxa" w:w="6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8EAAD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color w:val="FFFFFF"/>
                <w:sz w:val="19"/>
                <w:szCs w:val="19"/>
              </w:rPr>
              <w:t xml:space="preserve">轻量数据/分析层（抽取整合伯俊与驿氪数据）+ 统一指标字典（口径治理）</w:t>
            </w:r>
          </w:p>
        </w:tc>
      </w:tr>
      <w:tr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2E5496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数据源层（现有系统）</w:t>
            </w:r>
          </w:p>
        </w:tc>
        <w:tc>
          <w:tcPr>
            <w:tcW w:type="dxa" w:w="6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2E5496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color w:val="FFFFFF"/>
                <w:sz w:val="19"/>
                <w:szCs w:val="19"/>
              </w:rPr>
              <w:t xml:space="preserve">伯俊 ERP（交易/商品/库存/调拨/盘点）· 驿氪 CRM（会员/分层/标签）· 企业微信（私域/导购）</w:t>
            </w:r>
          </w:p>
        </w:tc>
      </w:tr>
      <w:tr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贯穿全局</w:t>
            </w:r>
          </w:p>
        </w:tc>
        <w:tc>
          <w:tcPr>
            <w:tcW w:type="dxa" w:w="6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color w:val="FFFFFF"/>
                <w:sz w:val="19"/>
                <w:szCs w:val="19"/>
              </w:rPr>
              <w:t xml:space="preserve">组织与数据治理：一把手授权的跨域负责人/核心小组 · 统一口径 · 数据质量与责任机制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3.3 三大工程与优先级逻辑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优先级排序紧扣“金额最大、最急迫、价值最确定”的原则：工程一直指 2000 万滞销，是减亏的最大杠杆，置于 P0；工程二激活沉睡的会员与私域资产、并为过季库存提供温和出口，置于 P1，可与工程一部分并行；工程三作为底座跟随前两者按需生长，置于 P2，但其中成本最低的“口径治理”需先行启动。后续待基座成熟，再拓展销售预测、自动补货/调拨建议等远期能力。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四、工程一：商品运营效率底座（对着 2000 万滞销）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4.1 目标与价值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本工程是整个数字化的重中之重，目标是把商品运营从“事后拼 Excel、凭经验拍板”转为“实时可视 + 规则驱动 + 有据可依”，从前后两端同时压降滞销：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后端·季中决策：让折扣、调店、调拨、补货等动作有实时依据、有触发规则、有行动清单，及时止损、及时补单——降低存量滞销、拦截正在生成的滞销。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前端·订货会复盘：沉淀结构化历史战绩库，为下一季选品提供数据支撑，从源头提升选品命中率——这是减少滞销“增量”的最高杠杆。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4.2 商品核心指标体系（SKC 与 SKU 双视角）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先统一一套商品核心指标，并严格区分层级：选品看 SKC（款，如 DAZZLE 春夏 383 款即 SKC 层），断码/售罄看 SKU（含尺码）。同一指标在不同层级用途不同，口径必须一致。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9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定义 / 口径要点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售罄率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SKC/SKU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累计销量 ÷ 入库总量；需固定时间窗口（如上市第 N 周）与口径（按件/按吊牌额）。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衡量动销与去化进度，是季中处理与复盘的核心。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正价售罄率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未打折（或折扣高于阈值）情况下的售罄占比。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中高端尤为关键，反映真实需求与价格承受力。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动销率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SKC/SKU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周期内有销售的 SKC（或 SKU）数 ÷ 在售总数。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识别“铺了货却没动”的款，评估宽度健康。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首周/首 N 周表现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上市初期售罄率与动销速度。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最早的“爆款/滞销”信号，决定追单或早处理。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库存周转天数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品类/品牌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平均库存 ÷ 日均销售（成本口径）。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衡量资金占用与运营效率。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库销比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门店/品类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期末库存 ÷ 周期销售。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判断备货是否过量、是否需调拨/补货。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折扣率 / 折扣深度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实际成交价 ÷ 吊牌价；跟踪折扣分布与趋势。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监控价格形象、衡量去化代价。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断码率 / 齐码率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SKU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缺断尺码占比 / 齐全尺码占比（按 SKC 下 SKU）。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断码会拖累 SKC 售罄，触发集中调拨归集。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过季库存占比</w:t>
            </w:r>
          </w:p>
        </w:tc>
        <w:tc>
          <w:tcPr>
            <w:tcW w:type="dxa" w:w="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SKC/品类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过季 SKC 库存额 ÷ 总库存额。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清货优先级排序，对接私域定向消化。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4.3 季中商品决策体系：从看板到行动清单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仅有看板还不够——很多滞销是“看到了也没及时动”。本工程的关键，是把指标按商品生命周期分级、用触发规则自动生成“本周该做什么”的行动清单，并配套决策例会落地。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4.3.1 商品生命周期健康度分级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为每个 SKC 标注其所处生命周期阶段，不同阶段关注不同信号、对应不同动作：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生命周期阶段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关注信号与指标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建议动作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新品期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首周/首 N 周售罄率、动销速度、各店表现差异。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强表现 → 追单/翻单、向高动销店调拨补充；弱表现 → 调店至更匹配门店、营销助推，尽早判断。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成长期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售罄率爬升斜率、库存深度（可售周数）、断码率。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畅销款及时补货/调拨保供，避免断码断货错失销售。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成熟期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售罄率是否停滞、库销比、折扣率。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动销放缓且库存偏高 → 评估温和促销或调拨归集；保持价格形象。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衰退期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动销停滞、断码加剧、可售周数过长。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断码款集中调拨归集成齐码店；启动定向去化，避免越压越深。</w:t>
            </w:r>
          </w:p>
        </w:tc>
      </w:tr>
      <w:tr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过季</w:t>
            </w:r>
          </w:p>
        </w:tc>
        <w:tc>
          <w:tcPr>
            <w:tcW w:type="dxa" w:w="3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过季库存额与占比、剩余可售。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优先走私域定向消化（VIP 专享/导购一对一），慎用门店无差别打折。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4.3.2 触发规则与行动清单（示例）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系统按统一口径自动巡检全量 SKC/SKU，命中规则即生成带责任人的行动清单，推送到对应角色，替代被动的事后发现。以下为示例规则，具体阈值需结合各品牌历史基准校准：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16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触发场景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判断口径（示例）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建议动作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主责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新品动销疲软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上市 3 周售罄率低于同品类基准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调店至高潜门店 / 营销助推 / 早做处理预案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 + 门店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畅销断货风险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可售周数 &lt; 2 周且仍处成长期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向滞销门店调拨 / 向品牌翻单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断码拖累售罄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SKC 断码率超阈值、整体仍有库存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跨店集中调拨，归集为齐码可售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 + 调拨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库存深度过高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可售周数 &gt; 设定上限且动销放缓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温和促销 / 调拨平衡 / 纳入去化池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过季待清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进入过季且仍有较高库存额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进入私域定向消化（对接工程二）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 + 会员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折扣异常</w:t>
            </w:r>
          </w:p>
        </w:tc>
        <w:tc>
          <w:tcPr>
            <w:tcW w:type="dxa" w:w="2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折扣深度超过品牌价格形象阈值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复核促销策略，防止价格体系受损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 + 品牌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4.3.3 看板形态与决策例会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看板以实时/准实时刷新，支持按品牌、品类、波段、门店、SKC、SKU 多维下钻，并直接呈现行动清单。配套建立周或双周商品决策例会，以看板与行动清单为唯一议事依据，逐条跟进打折/调店/调拨/补货的执行与结果，彻底替代手工 Excel 拼表。决策从“拼数据”转向“做决策与盯执行”。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4.4 订货会复盘与选品支撑体系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这是从源头减少滞销“增量”的关键。把每一季的实际战绩结构化沉淀下来，反哺下一季的选品判断，让商品经理 + 品牌经理 + 高销的经验有数据校准。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4.4.1 结构化历史战绩库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为历史每个 SKC 同时打上“属性标签”和“结果标签”，形成可检索、可分析的战绩库。建议先回溯近 2–3 年、聚焦核心品牌与品类，再逐步补全。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维度类别</w:t>
            </w:r>
          </w:p>
        </w:tc>
        <w:tc>
          <w:tcPr>
            <w:tcW w:type="dxa" w:w="72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具体标签 / 字段（示例）</w:t>
            </w:r>
          </w:p>
        </w:tc>
      </w:tr>
      <w:tr>
        <w:tc>
          <w:tcPr>
            <w:tcW w:type="dxa" w:w="21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商品属性维度</w:t>
            </w:r>
          </w:p>
        </w:tc>
        <w:tc>
          <w:tcPr>
            <w:tcW w:type="dxa" w:w="72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品牌、季节/年份、波段、品类（如连衣裙/外套/针织）、版型廓形、面料、颜色色系、图案、风格标签、吊牌价格带。</w:t>
            </w:r>
          </w:p>
        </w:tc>
      </w:tr>
      <w:tr>
        <w:tc>
          <w:tcPr>
            <w:tcW w:type="dxa" w:w="21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采购/结构维度</w:t>
            </w:r>
          </w:p>
        </w:tc>
        <w:tc>
          <w:tcPr>
            <w:tcW w:type="dxa" w:w="72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首单量、铺货门店数、尺码配比、订货占比（占该季/该品类比重）。</w:t>
            </w:r>
          </w:p>
        </w:tc>
      </w:tr>
      <w:tr>
        <w:tc>
          <w:tcPr>
            <w:tcW w:type="dxa" w:w="21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销售结果维度</w:t>
            </w:r>
          </w:p>
        </w:tc>
        <w:tc>
          <w:tcPr>
            <w:tcW w:type="dxa" w:w="72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售罄率、正价售罄率、动销速度（首 N 周）、最终折扣深度、毛利贡献、退换率、是否判定为滞销。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</w:rPr>
        <w:t xml:space="preserve">4.4.2 选品参考与打分框架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在订货会现场，对每一个候选 SKC，系统调取“属性相似”的历史款表现，给出参考评分与风险提示，把模糊的“我觉得这款会卖”变为“同类版型在此价格带历史正价售罄率约 X%”。具体支撑包括：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相似款战绩回溯：按版型、品类、价格带、风格匹配历史款，呈现其售罄、折扣、毛利与滞销情况。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价格带与品类结构分析：识别历史上易超量、易压货的价格带/品类，优化本季订货的结构配比。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订货量与尺码配比建议：基于相似款历史售罄与门店容量，提示订货量区间与尺码配比，从源头降低断码。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4.4.3 定位：辅助决策，而非取代经验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选品支撑工具的定位是为商品经理、品牌经理与高销提供共识基础——数据负责把历史规律摆上桌面、提示风险，最终判断仍由人结合品牌调性、流行趋势与现场买手手感做出。数据 + 经验，优于任何单一一方。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4.5 与买断模式的契合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因为库存风险全在我方，选品命中率的微小提升就能带来可观的减亏：在 5 亿体量上，把每年新增滞销（按成本计）压降一两成，对应即是数百万元的真实利润改善。相比清理已沉淀的存量，从源头“少买错、早处理”才是更可持续、更高回报的方向——这也是本工程把“季中决策”与“订货会复盘”双轮并重的根本原因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4.6 落地路径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奠基（P0）：统一商品核心指标口径，搭建第一版实时商品健康度看板（接伯俊+驿氪），替代核心手工报表。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季中决策（P1）：上线触发规则与行动清单、建立商品决策例会；同步启动历史战绩库回溯与打标。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选品支撑（P1–P2）：历史战绩库就绪后，形成选品参考与打分框架，赶在下一季订货会投入使用。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五、工程二：会员精准营销（3 万私域 + 导购 + 驿氪分层）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5.1 目标与价值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把已有但沉睡的会员资产真正激活：让 10 万+ 会员接入自动化触达、让近 3 万高频私域被导购精细运营，带动复购与连带，并为过季库存提供温和、定向的消化出口，全程维护中高端价格形象。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5.2 会员资产盘点与触达分层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不同会员资产的可触达性与运营方式差异很大，应分层运营、各用其长：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会员层级</w:t>
            </w:r>
          </w:p>
        </w:tc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规模 / 来源</w:t>
            </w:r>
          </w:p>
        </w:tc>
        <w:tc>
          <w:tcPr>
            <w:tcW w:type="dxa" w:w="2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主要触达渠道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运营重点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全量会员</w:t>
            </w:r>
          </w:p>
        </w:tc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 万+（驿氪，已分层打标）</w:t>
            </w:r>
          </w:p>
        </w:tc>
        <w:tc>
          <w:tcPr>
            <w:tcW w:type="dxa" w:w="2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短信 / 公众号 / 小程序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自动化旅程批量培育与唤醒，盘活长尾。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高频私域</w:t>
            </w:r>
          </w:p>
        </w:tc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近 3 万（企微，导购持有）</w:t>
            </w:r>
          </w:p>
        </w:tc>
        <w:tc>
          <w:tcPr>
            <w:tcW w:type="dxa" w:w="2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企微一对一 / 朋友圈 / 社群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导购精细化运营，最高转化，承接定向去化。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高价值/VIP</w:t>
            </w:r>
          </w:p>
        </w:tc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驿氪高层级标签人群</w:t>
            </w:r>
          </w:p>
        </w:tc>
        <w:tc>
          <w:tcPr>
            <w:tcW w:type="dxa" w:w="2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导购一对一 + 专属权益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专属服务与新品优先，维护与复购为先。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流失/沉睡</w:t>
            </w:r>
          </w:p>
        </w:tc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长期未复购人群</w:t>
            </w:r>
          </w:p>
        </w:tc>
        <w:tc>
          <w:tcPr>
            <w:tcW w:type="dxa" w:w="2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自动化挽回 + 导购触达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预警挽回，唤醒沉睡，止损流失。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5.3 驿氪自动化触达体系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基于驿氪已有的分层与标签，搭建自动化营销旅程，把零散人工动作变为“事件触发、自动执行、可衡量”的常态化运营。核心场景示例：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31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营销场景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触发条件 / 人群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动作与内容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主渠道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新会员培育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首次入会/首购后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欢迎礼遇 + 品牌介绍 + 二次到店引导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企微/短信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生日关怀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会员生日临近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专属生日权益与问候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短信/企微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复购与连带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购买后特定周期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搭配推荐、连带券、上新提醒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公众号/企微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流失预警挽回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超过复购周期未到店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唤醒权益 + 导购跟进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短信+企微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消费升级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接近更高层级门槛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升级激励与权益预告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企微/小程序</w:t>
            </w:r>
          </w:p>
        </w:tc>
      </w:tr>
      <w:tr>
        <w:tc>
          <w:tcPr>
            <w:tcW w:type="dxa" w:w="1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上新/节令</w:t>
            </w:r>
          </w:p>
        </w:tc>
        <w:tc>
          <w:tcPr>
            <w:tcW w:type="dxa" w:w="2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新品上市、关键节点</w:t>
            </w:r>
          </w:p>
        </w:tc>
        <w:tc>
          <w:tcPr>
            <w:tcW w:type="dxa" w:w="3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分层差异化推送（非无差别群发）</w:t>
            </w:r>
          </w:p>
        </w:tc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公众号/企微</w:t>
            </w:r>
          </w:p>
        </w:tc>
      </w:tr>
    </w:tbl>
    <w:p>
      <w:pPr>
        <w:spacing w:after="130" w:before="8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所有触达需做节奏与频控管理，避免过度打扰；内容以价值感与品牌调性为先，而非单纯促销，保护中高端形象。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5.4 导购私域赋能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近 3 万私域是最值钱、最高频的资产，但目前分散在导购个人手中、缺统一调度。本节通过企业微信把“该联系谁、说什么、给什么”系统化地武装给导购，并与提成激励绑定。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任务派发：系统识别需触达的会员（如 VIP 久未到店、生日临近、可关联推荐、定向去化目标），自动生成任务派给对应导购，让一线“知道今天该联系谁”。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素材与话术库：提供标准话术、新品素材、朋友圈内容、一键发券与群发工具，降低导购运营门槛、统一品牌表达。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利益绑定：将私域运营与定向去化任务与 6 个点提成或专项激励挂钩，让导购有动力主动经营私域。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私域健康度管理：以导购运营看板跟踪好友数、活跃度、触达与转化，纳入日常管理与复盘。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5.5 过季库存定向消化机制（工程一 × 工程二 协同 · 关键亮点）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是两大工程协同产生的、最契合尚霖盈和约束的能力：用私域定向消化过季/滞销库存，既回笼现金，又避免门店无差别打折损伤价格形象。逻辑闭环为——工程一识别“该清的货”，会员数据识别“接得住的人”，私域渠道完成低调而精准的触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3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3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数据 / 系统支撑</w:t>
            </w:r>
          </w:p>
        </w:tc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主责</w:t>
            </w:r>
          </w:p>
        </w:tc>
      </w:tr>
      <w:tr>
        <w:tc>
          <w:tcPr>
            <w:tcW w:type="dxa" w:w="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①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圈定去化目标：过季/滞销 SKC（含断码归集后）</w:t>
            </w:r>
          </w:p>
        </w:tc>
        <w:tc>
          <w:tcPr>
            <w:tcW w:type="dxa" w:w="3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工程一健康度看板与去化池</w:t>
            </w:r>
          </w:p>
        </w:tc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</w:t>
            </w:r>
          </w:p>
        </w:tc>
      </w:tr>
      <w:tr>
        <w:tc>
          <w:tcPr>
            <w:tcW w:type="dxa" w:w="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②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匹配目标人群：买过相似风格/价位/尺码、高复购、私域可触达者</w:t>
            </w:r>
          </w:p>
        </w:tc>
        <w:tc>
          <w:tcPr>
            <w:tcW w:type="dxa" w:w="3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驿氪标签 + 交易历史 + 企微</w:t>
            </w:r>
          </w:p>
        </w:tc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</w:t>
            </w:r>
          </w:p>
        </w:tc>
      </w:tr>
      <w:tr>
        <w:tc>
          <w:tcPr>
            <w:tcW w:type="dxa" w:w="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③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定向触达：VIP 专享 / 导购一对一 / 小程序专区</w:t>
            </w:r>
          </w:p>
        </w:tc>
        <w:tc>
          <w:tcPr>
            <w:tcW w:type="dxa" w:w="3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企微任务派发 + 素材/券</w:t>
            </w:r>
          </w:p>
        </w:tc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 + 导购</w:t>
            </w:r>
          </w:p>
        </w:tc>
      </w:tr>
      <w:tr>
        <w:tc>
          <w:tcPr>
            <w:tcW w:type="dxa" w:w="7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④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复盘迭代：跟踪去化率与价格形象影响，控制节奏</w:t>
            </w:r>
          </w:p>
        </w:tc>
        <w:tc>
          <w:tcPr>
            <w:tcW w:type="dxa" w:w="3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去化效果看板</w:t>
            </w:r>
          </w:p>
        </w:tc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项目组</w:t>
            </w:r>
          </w:p>
        </w:tc>
      </w:tr>
    </w:tbl>
    <w:p>
      <w:pPr>
        <w:spacing w:after="130" w:before="8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注意把握节奏与价值感，避免频繁定向折扣透支会员、形成“等打折”预期；定向去化应包装为“会员专属/限量”的权益体验，而非常态化清仓。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5.6 落地路径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先导购、后全量：优先用企微赋能 3 万私域并跑通过季库存定向消化（可与工程一季中决策同步试点，快速见效）。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再上自动化旅程：在驿氪逐步上线生日、复购、流失挽回等核心旅程，盘活 10 万全量会员。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持续优化：基于效果数据迭代人群、内容、节奏与激励。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六、工程三：统一数据基座与口径治理（跟随业务生长）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6.1 目标与原则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本工程为工程一、工程二提供可信的统一数据底座，但坚持“跟随业务目标生长、非为建而建”：不追求一次性的大数据中台，而是按业务需要分步搭建，先服务商品域，再服务会员域，再逐步扩展。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6.2 口径治理与指标字典（先行、低成本、高价值）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这是整个数字化最便宜也最关键的一步：它主要是组织共识 + 文档化，几乎不依赖采购。统一术语（SKC/SKU/款/波段等）与核心指标口径（售罄率、动销率、折扣率、周转、断码率等的定义、计算公式、时间窗口、数据来源、责任部门），形成《指标字典》并落地到所有看板，确保各部门“同一个词说的是同一件事”。详见附录 B 示例。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6.3 轻量数据 / 分析层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在已打通的伯俊与驿氪之上，把交易、商品、库存、会员数据抽取整合到统一分析层，以 BI/可视化工具产出看板，替代手工 Excel 拼表。建设要点：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选型方向：优先选择与伯俊等系统集成成熟、在零售行业落地广泛、对 IT 能力要求适中的 BI/分析方案；自建与采购各有取舍，需结合预算与人力评估，并以厂商正式报价为准。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渐进交付：先交付商品域核心看板（服务工程一），再扩展会员域看板（服务工程二），按需逐步增加主题，避免一次性大而全。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数据质量保障：明确主数据来源（如商品/库存以伯俊为准、会员以驿氪为准），建立校验与对账机制。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6.4 数据治理机制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单一事实来源：每个核心指标只有一个权威口径与一个数据出口，杜绝多版本报表。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责任到人：每个主题/指标明确归口责任部门与维护人，由跨域负责人统一裁定口径争议。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更新与对账：明确刷新频率、对账周期与异常处理流程，保证数据可信。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6.5 远期能力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在数据基座与历史战绩库成熟后，可进一步发展销售预测、自动补货/调拨建议、更精细的会员生命周期模型等。这些能力建立在前述底座之上，属于水到渠成的延伸，不在初期范围内强行铺开。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七、组织与机制保障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7.1 现状问题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三大工程均横跨商品、会员、IT，而当前数据按部门分管（财务/会员/商品/IT），IT 虽有专职但能力有限，且没有跨域数据角色。若没有一个握有统一口径、能跨部门协调的牵头者，方案极易陷入“各管一摊、口径打架、推进无力”。这是落地的最大组织风险，必须前置解决。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7.2 跨域负责人 / 数字化核心小组（一把手授权）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建议由一把手授权，设立数字化负责人或小核心团队，作为统一口径的拥有者与项目的总抓手，直接向一把手汇报。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来源 / 构成</w:t>
            </w:r>
          </w:p>
        </w:tc>
        <w:tc>
          <w:tcPr>
            <w:tcW w:type="dxa" w:w="5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数字化负责人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内部选拔或外部引入，懂业务也懂数据</w:t>
            </w:r>
          </w:p>
        </w:tc>
        <w:tc>
          <w:tcPr>
            <w:tcW w:type="dxa" w:w="5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统筹三大工程、裁定口径、协调跨部门、对结果负责，直接向一把手汇报。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业务代表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 / 会员 部门骨干（兼职）</w:t>
            </w:r>
          </w:p>
        </w:tc>
        <w:tc>
          <w:tcPr>
            <w:tcW w:type="dxa" w:w="5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提出业务需求、校准口径、推动本部门采纳与执行。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数据/IT 角色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IT 专职 + 视情外部伙伴</w:t>
            </w:r>
          </w:p>
        </w:tc>
        <w:tc>
          <w:tcPr>
            <w:tcW w:type="dxa" w:w="5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负责数据集成、看板与战绩库实现、系统对接与运维。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财务代表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财务部（兼职）</w:t>
            </w:r>
          </w:p>
        </w:tc>
        <w:tc>
          <w:tcPr>
            <w:tcW w:type="dxa" w:w="51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校准成本/毛利等财务口径，参与 ROI 跟踪。</w:t>
            </w:r>
          </w:p>
        </w:tc>
      </w:tr>
    </w:tbl>
    <w:p>
      <w:pPr>
        <w:spacing w:after="130" w:before="8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授权要点：核心小组对核心指标口径拥有最终裁定权（具约束力）；拥有跨部门数据调用与协调权；其决议由一把手背书。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7.3 能力建设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补齐跨域数据角色：这是当前最关键的能力缺口，可通过内部培养 + 外部引入/顾问补强。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IT 能力补强：以外部实施伙伴弥补初期建设能力，同时在过程中培养内部团队，逐步具备自维护能力。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一线赋能培训：对商品经理（看板与选品工具）、导购（私域工具与话术）开展培训，确保工具被真正用起来。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7.4 跨部门协作与例会机制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商品决策例会（周/双周）：以商品健康度看板与行动清单为唯一依据，跟进季中处理。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会员运营例会（双周/月）：复盘自动化旅程与私域去化效果，迭代策略。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项目推进例会（周）：核心小组同步进度、风险与口径决议。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7.5 变革管理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数字化的真正阻力往往不在技术，而在“人愿不愿意改变”。应对之道：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一把手持续背书：明确数字化是公司战略而非某部门的活，为跨部门协调撑腰。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利益绑定：把工具使用与去化、运营成效与导购提成/部门考核挂钩，让“用起来”对每个人有好处。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以快赢换信任：先在小范围跑出看得见的成果（如一次成功的私域去化、一份让商品经理省事又准的看板），再逐步推广。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八、实施路线图与里程碑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8.1 分阶段总览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整体分为四个阶段，业务驱动、小步快跑、各阶段都交付可见价值。时长为建议区间，需结合资源与厂商确认细化（阶段之间可部分并行）。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3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阶段 / 时间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阶段目标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关键举措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交付物与里程碑</w:t>
            </w:r>
          </w:p>
        </w:tc>
      </w:tr>
      <w:tr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Phase 0 · 奠基
约 1–2 个月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立组织、定口径、出第一版看板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成立核心小组、任命跨域负责人；制定核心指标字典（含 SKC/SKU）；搭轻量分析层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★ 统一口径的实时商品看板上线，替代核心手工报表</w:t>
            </w:r>
          </w:p>
        </w:tc>
      </w:tr>
      <w:tr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Phase 1 · 商品底座
约 2–4 个月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季中决策成闭环、开始拦截滞销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上线触发规则与行动清单、建商品决策例会；启动历史战绩库回溯打标；试点私域定向去化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★ 季中行动清单运行；首批存量滞销私域去化见效</w:t>
            </w:r>
          </w:p>
        </w:tc>
      </w:tr>
      <w:tr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Phase 2 · 会员+选品
约 3–5 个月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激活会员、选品有数据支撑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驿氪核心旅程上线、导购私域赋能全面铺开；战绩库支撑选品打分框架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★ 第一次“数据支撑的订货会”；会员自动化旅程常态运行</w:t>
            </w:r>
          </w:p>
        </w:tc>
      </w:tr>
      <w:tr>
        <w:tc>
          <w:tcPr>
            <w:tcW w:type="dxa" w:w="1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Phase 3 · 深化与远期
持续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能力深化、底座按需扩展</w:t>
            </w:r>
          </w:p>
        </w:tc>
        <w:tc>
          <w:tcPr>
            <w:tcW w:type="dxa" w:w="3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销售预测、自动补货/调拨建议；更精细会员运营</w:t>
            </w:r>
          </w:p>
        </w:tc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★ 远期能力按需上线，基座持续生长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8.2 以订货会节奏对齐时间锚点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女装订货会通常在销售季前数月召开。建议把“选品支撑就绪”这一里程碑，明确倒排锚定到下一季（如下一季春夏或秋冬）订货会的时间点，据此反推历史战绩库回溯与打标的启动时间，确保 Phase 2 的选品框架能赶上那一次订货会真正用上，而非滞后一季。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8.3 快赢清单（早期可见成果）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一份口径统一、实时可下钻的商品健康度看板——商品/会员/财务不再各拼各的 Excel。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一套自动生成的季中行动清单——商品经理每周清楚“哪些款该打折/调店/调拨/补货”。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微软雅黑" w:cs="微软雅黑" w:eastAsia="微软雅黑" w:hAnsi="微软雅黑"/>
          <w:sz w:val="21"/>
          <w:szCs w:val="21"/>
        </w:rPr>
        <w:t xml:space="preserve">一次成功的私域定向去化试点——用既有滞销验证“清货又不伤品牌”的打法并量化回收。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九、投入与收益（ROI）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9.1 投入估算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预算尚未确定，以下按类别给出量级与说明，供编制预算参考；最终金额需结合自建/采购方案与厂商正式报价确定。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投入类别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内容说明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量级与说明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数据/BI 平台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BI/可视化与数据整合工具的许可与集成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软件年费 + 实施，量级随用户数与自建/采购方案而定；需厂商报价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会员/私域工具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驿氪自动化营销模块、企微私域运营工具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多为模块/年费，量级中等；部分能力或可在现有基础上扩展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实施与定制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看板开发、历史战绩库建设、规则/模型搭建、系统对接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一次性投入为主，自建或外部伙伴各有取舍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人力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跨域负责人 + 数据分析角色（可内部调配 + 外部补充）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年化人力成本，是持续投入的关键一项</w:t>
            </w:r>
          </w:p>
        </w:tc>
      </w:tr>
      <w:tr>
        <w:tc>
          <w:tcPr>
            <w:tcW w:type="dxa" w:w="2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持续运营</w:t>
            </w:r>
          </w:p>
        </w:tc>
        <w:tc>
          <w:tcPr>
            <w:tcW w:type="dxa" w:w="43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维护、迭代、培训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年度小额预算</w:t>
            </w:r>
          </w:p>
        </w:tc>
      </w:tr>
    </w:tbl>
    <w:p>
      <w:pPr>
        <w:spacing w:after="130" w:before="8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总体而言，对一家 5 亿体量、60 家门店的零售企业，本方案属于务实的中等投入，且可分阶段投放、按成效追加，避免一次性重资产投入。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9.2 收益测算（示例 · 需以公司实际数据校准）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收益以滞销改善为最大来源。下表为测算逻辑与量级示例，所有假设均需用公司真实数据替换，仅供决策参考、非收益承诺。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收益杠杆</w:t>
            </w:r>
          </w:p>
        </w:tc>
        <w:tc>
          <w:tcPr>
            <w:tcW w:type="dxa" w:w="45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测算逻辑（含假设）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量级（测算）</w:t>
            </w:r>
          </w:p>
        </w:tc>
      </w:tr>
      <w:tr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存量滞销回收</w:t>
            </w:r>
          </w:p>
        </w:tc>
        <w:tc>
          <w:tcPr>
            <w:tcW w:type="dxa" w:w="45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 700–800 万成本的沉淀库存，通过私域定向 + 渠道组合在 12–18 个月温和去化，回笼部分现金并释放资金与陈列空间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数百万元现金回收（取决于折扣与动销）</w:t>
            </w:r>
          </w:p>
        </w:tc>
      </w:tr>
      <w:tr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增量滞销拦截（最大）</w:t>
            </w:r>
          </w:p>
        </w:tc>
        <w:tc>
          <w:tcPr>
            <w:tcW w:type="dxa" w:w="45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以历史战绩支撑选品、季中行动清单及时止损，降低每年新增滞销生成率；在 5 亿体量上，按成本计每降一两成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每年数百万元减亏（可持续）</w:t>
            </w:r>
          </w:p>
        </w:tc>
      </w:tr>
      <w:tr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会员复购提升</w:t>
            </w:r>
          </w:p>
        </w:tc>
        <w:tc>
          <w:tcPr>
            <w:tcW w:type="dxa" w:w="45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自动化旅程 + 私域精细运营带动复购与连带；会员贡献销售提升一两个百分点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每年数百万元增量销售（量级）</w:t>
            </w:r>
          </w:p>
        </w:tc>
      </w:tr>
      <w:tr>
        <w:tc>
          <w:tcPr>
            <w:tcW w:type="dxa" w:w="22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人效与决策</w:t>
            </w:r>
          </w:p>
        </w:tc>
        <w:tc>
          <w:tcPr>
            <w:tcW w:type="dxa" w:w="45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报表自动化释放财务/会员/商品的拼表工时，决策更快更准</w:t>
            </w:r>
          </w:p>
        </w:tc>
        <w:tc>
          <w:tcPr>
            <w:tcW w:type="dxa" w:w="26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人力释放 + 决策提速（难直接量化，价值显著）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9.3 ROI 与回收逻辑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把投入与收益放在一起看：本方案的核心投入量级，与“滞销改善”单项每年带来的减亏/回收（数百万元量级）相比，回报具吸引力——即便仅实现较保守的滞销改善与会员提升，也有较大机会在较短周期内覆盖整体投入，更不必说人效与决策质量的长期价值。建议在 Phase 0–1 设定可量化的基线指标（如核心品类滞销率、私域去化率、会员复购率），用真实成效持续校准投入节奏。</w:t>
      </w:r>
    </w:p>
    <w:p>
      <w:pPr>
        <w:spacing w:after="130" w:before="60" w:line="320"/>
      </w:pPr>
      <w:r>
        <w:rPr>
          <w:rFonts w:ascii="微软雅黑" w:cs="微软雅黑" w:eastAsia="微软雅黑" w:hAnsi="微软雅黑"/>
          <w:i/>
          <w:iCs/>
          <w:color w:val="595959"/>
          <w:sz w:val="19"/>
          <w:szCs w:val="19"/>
        </w:rPr>
        <w:t xml:space="preserve">说明：以上 ROI 为面向规划的测算示例，依赖一系列假设，并非财务承诺或投资建议；公司应结合自身财务数据独立评估后再做预算与立项决策。</w:t>
      </w:r>
    </w:p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十、风险与应对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提前识别关键风险并配套应对，是方案稳健落地的保障：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潜在影响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口径不统一、数据不可信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看板无人信、决策仍回到拍脑袋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口径治理先行，建立指标字典与单一事实来源，由跨域负责人统一裁定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业务不买账（商品/导购不用）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工具空转、价值落空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一把手背书 + 利益绑定 + 快赢示范 + 一线培训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为建而建 / 范围蔓延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投入失控、迟迟不见效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业务驱动、分阶段、先看板后模型、每阶段交付可见价值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IT 能力不足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建设与运维受阻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引入外部实施伙伴，同步培养内部团队，关键岗位补强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历史数据打标工作量大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战绩库迟迟难成形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渐进推进，先核心品牌/品类、近 2–3 年，再逐步补全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品牌方对折扣/清货有约束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去化受限或触发合规问题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清货走私域定向、控制折扣深度，并与品牌方充分沟通</w:t>
            </w:r>
          </w:p>
        </w:tc>
      </w:tr>
      <w:tr>
        <w:tc>
          <w:tcPr>
            <w:tcW w:type="dxa" w:w="24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私域过度营销透支会员</w:t>
            </w:r>
          </w:p>
        </w:tc>
        <w:tc>
          <w:tcPr>
            <w:tcW w:type="dxa" w:w="30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会员反感、形成等折扣预期</w:t>
            </w:r>
          </w:p>
        </w:tc>
        <w:tc>
          <w:tcPr>
            <w:tcW w:type="dxa" w:w="39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节奏与频控管理，定向去化包装为专属权益而非常态清仓</w:t>
            </w:r>
          </w:p>
        </w:tc>
      </w:tr>
    </w:tbl>
    <w:p>
      <w:pPr>
        <w:pStyle w:val="Heading1"/>
        <w:pageBreakBefore/>
      </w:pPr>
      <w:r>
        <w:rPr>
          <w:rFonts w:ascii="微软雅黑" w:cs="微软雅黑" w:eastAsia="微软雅黑" w:hAnsi="微软雅黑"/>
        </w:rPr>
        <w:t xml:space="preserve">附录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附录 A ·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SKC（款）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Stock Keeping Color，颜色级商品（如 DAZZLE 春夏 383 款即 SKC 层）；选品在此层判断。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 SKC 基础上含具体尺码的最小库存单位；断码/售罄在此层判断。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波段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同一季内分批上市的商品批次/节奏。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售罄率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累计销量占入库总量的比例，需固定时间窗口与口径。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正价售罄率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未打折（或折扣高于阈值）情况下的售罄占比。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动销率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周期内有销售的 SKC/SKU 占在售总数的比例。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断码率 / 齐码率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SKC 下尺码缺断 / 齐全的程度，影响 SKC 整体去化。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库销比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期末库存与周期销售之比，衡量备货是否合理。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库存周转天数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平均库存与日均销售（成本口径）之比，衡量资金占用效率。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调拨 / 调店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门店间库存转移 / 将商品调至更匹配门店，用于保供与去化。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翻单 / 返单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对畅销款向品牌方追加订货。</w:t>
            </w:r>
          </w:p>
        </w:tc>
      </w:tr>
      <w:tr>
        <w:tc>
          <w:tcPr>
            <w:tcW w:type="dxa" w:w="19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私域</w:t>
            </w:r>
          </w:p>
        </w:tc>
        <w:tc>
          <w:tcPr>
            <w:tcW w:type="dxa" w:w="74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经企业微信等沉淀、可主动高频触达的会员（近 3 万，多在导购手中）。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附录 B · 核心指标字典示例</w:t>
      </w:r>
    </w:p>
    <w:p>
      <w:pPr>
        <w:spacing w:after="130" w:before="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以下为指标字典的格式示例（节选）。正式建设时应据此覆盖全部核心指标，作为所有看板与决策的统一依据。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60"/>
        <w:gridCol w:w="4300"/>
        <w:gridCol w:w="15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计算口径与定义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责任部门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售罄率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SKC/SKU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累计销量 ÷ 累计入库量；统一按件计，需标注时间窗口（如上市第 8 周）。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正价售罄率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折扣 ≥ 设定阈值的销量 ÷ 入库量。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动销率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周期内有销售的 SKC 数 ÷ 在售 SKC 总数。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折扣深度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SKC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1 −（实际成交额 ÷ 吊牌额）。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商品/品牌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断码率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SKU→SKC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SKC 下缺断尺码数 ÷ 该 SKC 全尺码数。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伯俊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商品部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会员复购率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会员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周期内复购会员数 ÷ 活跃会员数；需统一周期口径。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shd w:fill="F3F6FB" w:val="clear"/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会员部</w:t>
            </w:r>
          </w:p>
        </w:tc>
      </w:tr>
      <w:tr>
        <w:tc>
          <w:tcPr>
            <w:tcW w:type="dxa" w:w="1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私域触达转化率</w:t>
            </w:r>
          </w:p>
        </w:tc>
        <w:tc>
          <w:tcPr>
            <w:tcW w:type="dxa" w:w="76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  <w:jc w:val="center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会员</w:t>
            </w:r>
          </w:p>
        </w:tc>
        <w:tc>
          <w:tcPr>
            <w:tcW w:type="dxa" w:w="43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私域触达后产生购买的会员数 ÷ 触达会员数。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驿氪+企微</w:t>
            </w:r>
          </w:p>
        </w:tc>
        <w:tc>
          <w:tcPr>
            <w:tcW w:type="dxa" w:w="1500"/>
            <w:tcBorders>
              <w:top w:val="single" w:color="BFC9DA" w:sz="4"/>
              <w:left w:val="single" w:color="BFC9DA" w:sz="4"/>
              <w:bottom w:val="single" w:color="BFC9DA" w:sz="4"/>
              <w:right w:val="single" w:color="BFC9DA" w:sz="4"/>
            </w:tcBorders>
            <w:tcMar>
              <w:top w:type="dxa" w:w="56"/>
              <w:left w:type="dxa" w:w="100"/>
              <w:bottom w:type="dxa" w:w="56"/>
              <w:right w:type="dxa" w:w="100"/>
            </w:tcMar>
            <w:vAlign w:val="center"/>
          </w:tcPr>
          <w:p>
            <w:pPr>
              <w:spacing w:after="30" w:before="30" w:line="268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会员部</w:t>
            </w:r>
          </w:p>
        </w:tc>
      </w:tr>
    </w:tbl>
    <w:p>
      <w:pPr>
        <w:spacing w:after="2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130" w:before="0" w:line="320"/>
        <w:jc w:val="center"/>
      </w:pPr>
      <w:r>
        <w:rPr>
          <w:rFonts w:ascii="微软雅黑" w:cs="微软雅黑" w:eastAsia="微软雅黑" w:hAnsi="微软雅黑"/>
          <w:color w:val="595959"/>
          <w:sz w:val="19"/>
          <w:szCs w:val="19"/>
        </w:rPr>
        <w:t xml:space="preserve">（全文完）</w:t>
      </w:r>
    </w:p>
    <w:p>
      <w:pPr>
        <w:spacing w:after="130" w:before="0" w:line="32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18"/>
          <w:szCs w:val="18"/>
        </w:rPr>
        <w:t xml:space="preserve">本方案为讨论稿，旨在对齐方向与优先级；具体选型、阈值、预算与排期需在项目启动后结合公司实际进一步细化。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7"/>
        <w:szCs w:val="17"/>
      </w:rPr>
      <w:t xml:space="preserve">第 </w:t>
    </w:r>
    <w:r>
      <w:rPr>
        <w:rFonts w:ascii="微软雅黑" w:cs="微软雅黑" w:eastAsia="微软雅黑" w:hAnsi="微软雅黑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微软雅黑" w:cs="微软雅黑" w:eastAsia="微软雅黑" w:hAnsi="微软雅黑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4" w:space="4"/>
      </w:pBdr>
      <w:jc w:val="right"/>
    </w:pPr>
    <w:r>
      <w:rPr>
        <w:rFonts w:ascii="微软雅黑" w:cs="微软雅黑" w:eastAsia="微软雅黑" w:hAnsi="微软雅黑"/>
        <w:color w:val="8C99AD"/>
        <w:sz w:val="16"/>
        <w:szCs w:val="16"/>
      </w:rPr>
      <w:t xml:space="preserve">尚霖盈和 · 数字化建设方案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rFonts w:ascii="微软雅黑" w:cs="微软雅黑" w:eastAsia="微软雅黑" w:hAnsi="微软雅黑"/>
        <w:color w:val="2E5496"/>
      </w:rPr>
    </w:lvl>
    <w:lvl w:ilvl="1" w15:tentative="1">
      <w:start w:val="1"/>
      <w:numFmt w:val="bullet"/>
      <w:lvlText w:val="–"/>
      <w:lvlJc w:val="left"/>
      <w:pPr>
        <w:ind w:left="920" w:hanging="250"/>
      </w:pPr>
      <w:rPr>
        <w:rFonts w:ascii="微软雅黑" w:cs="微软雅黑" w:eastAsia="微软雅黑" w:hAnsi="微软雅黑"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0" w:space="6"/>
      </w:pBdr>
      <w:spacing w:after="180" w:before="320"/>
      <w:outlineLvl w:val="0"/>
    </w:pPr>
    <w:rPr>
      <w:rFonts w:ascii="微软雅黑" w:cs="微软雅黑" w:eastAsia="微软雅黑" w:hAnsi="微软雅黑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微软雅黑" w:cs="微软雅黑" w:eastAsia="微软雅黑" w:hAnsi="微软雅黑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微软雅黑" w:cs="微软雅黑" w:eastAsia="微软雅黑" w:hAnsi="微软雅黑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尚霖盈和数字化建设方案</dc:title>
  <dc:creator>尚霖盈和数字化项目组</dc:creator>
  <cp:lastModifiedBy>Un-named</cp:lastModifiedBy>
  <cp:revision>1</cp:revision>
  <dcterms:created xsi:type="dcterms:W3CDTF">2026-06-24T09:14:06.554Z</dcterms:created>
  <dcterms:modified xsi:type="dcterms:W3CDTF">2026-06-24T09:14:06.554Z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