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財務分析報告（教學模擬資料）</w:t>
      </w:r>
    </w:p>
    <w:p>
      <w:pPr>
        <w:pStyle w:val="Heading1"/>
      </w:pPr>
      <w:r>
        <w:t>分析範圍與來源</w:t>
      </w:r>
    </w:p>
    <w:p>
      <w:r>
        <w:t>examples/finance-assistant/reconciliation/internal.csv；SHA256：85aef82d02f3e201bfc5229fad8ebb66e913033b97b2ebd6ad273e08cba867f2</w:t>
      </w:r>
    </w:p>
    <w:p>
      <w:r>
        <w:t>examples/finance-assistant/reconciliation/bank.csv；SHA256：5a8edb78d9a1d075034f539a4a47a5e92c511dd0419170d648b4394177e02b50</w:t>
      </w:r>
    </w:p>
    <w:p>
      <w:pPr>
        <w:pStyle w:val="Heading1"/>
      </w:pPr>
      <w:r>
        <w:t>計算摘要</w:t>
      </w:r>
    </w:p>
    <w:p>
      <w:r>
        <w:t>已確認匹配：4 筆</w:t>
      </w:r>
    </w:p>
    <w:p>
      <w:r>
        <w:t>疑似匹配，待人工確認：2 筆</w:t>
      </w:r>
    </w:p>
    <w:p>
      <w:r>
        <w:t>金額不符：1 筆</w:t>
      </w:r>
    </w:p>
    <w:p>
      <w:r>
        <w:t>內部帳務缺漏：3 筆</w:t>
      </w:r>
    </w:p>
    <w:p>
      <w:r>
        <w:t>銀行或另一來源缺漏：3 筆</w:t>
      </w:r>
    </w:p>
    <w:p>
      <w:r>
        <w:t>疑似重複紀錄：2 筆</w:t>
      </w:r>
    </w:p>
    <w:p>
      <w:pPr>
        <w:pStyle w:val="Heading1"/>
      </w:pPr>
      <w:r>
        <w:t>計算依據</w:t>
      </w:r>
    </w:p>
    <w:p>
      <w:r>
        <w:t>對帳差額：內部金額−銀行或另一來源金額；沖銷負數保留正負號。</w:t>
      </w:r>
    </w:p>
    <w:p>
      <w:r>
        <w:t>確定配對條件：同幣別同期間，唯一識別碼、相同金額、日期差不超過 3 天；對象不得衝突。</w:t>
      </w:r>
    </w:p>
    <w:p>
      <w:r>
        <w:t>一對一：每一來源列至多使用一次；重複識別碼全部隔離；日期對象金額候選也只能列疑似。</w:t>
      </w:r>
    </w:p>
    <w:p>
      <w:pPr>
        <w:pStyle w:val="Heading1"/>
      </w:pPr>
      <w:r>
        <w:t>完整性與限制</w:t>
      </w:r>
    </w:p>
    <w:p>
      <w:r>
        <w:t>輸入列核對狀態：尚有缺漏或差異，僅為部分工作底稿</w:t>
      </w:r>
    </w:p>
    <w:p>
      <w:r>
        <w:t>正式會計查核尚未完成；未新增交易、調整帳本或補造原因；所有明細見同名工作簿。</w:t>
      </w:r>
    </w:p>
    <w:p>
      <w:pPr>
        <w:pStyle w:val="Heading1"/>
      </w:pPr>
      <w:r>
        <w:t>待人工確認</w:t>
      </w:r>
    </w:p>
    <w:p>
      <w:r>
        <w:t>教學模擬資料，非真實公司帳務。</w:t>
      </w:r>
    </w:p>
    <w:p>
      <w:r>
        <w:t>疑似重複紀錄：內部第 6 列／另一來源第 — 列；同來源交易識別碼或完整列重複；全部保留並排除自動配對。</w:t>
      </w:r>
    </w:p>
    <w:p>
      <w:r>
        <w:t>疑似重複紀錄：內部第 7 列／另一來源第 — 列；同來源交易識別碼或完整列重複；全部保留並排除自動配對。</w:t>
      </w:r>
    </w:p>
    <w:p>
      <w:r>
        <w:t>金額不符：內部第 3 列／另一來源第 3 列；同一交易識別碼、幣別與期間，金額不同；差額＝內部−另一來源。</w:t>
      </w:r>
    </w:p>
    <w:p>
      <w:r>
        <w:t>疑似匹配，待人工確認：內部第 13 列／另一來源第 11 列；識別碼金額相符，但日期差異或交易對象衝突，需人工確認。</w:t>
      </w:r>
    </w:p>
    <w:p>
      <w:r>
        <w:t>疑似匹配，待人工確認：內部第 4 列／另一來源第 4 列；日期、對象與金額相符但缺少一致交易識別碼；僅疑似。</w:t>
      </w:r>
    </w:p>
    <w:p>
      <w:r>
        <w:t>銀行或另一來源缺漏：內部第 5 列／另一來源第 — 列；另一來源未找到可安全一對一配對交易；缺漏資料須先確認。</w:t>
      </w:r>
    </w:p>
    <w:p>
      <w:r>
        <w:t>銀行或另一來源缺漏：內部第 11 列／另一來源第 — 列；另一來源未找到可安全一對一配對交易；缺漏資料須先確認。</w:t>
      </w:r>
    </w:p>
    <w:p>
      <w:r>
        <w:t>銀行或另一來源缺漏：內部第 12 列／另一來源第 — 列；另一來源未找到可安全一對一配對交易；缺漏資料須先確認。</w:t>
      </w:r>
    </w:p>
    <w:p>
      <w:r>
        <w:t>內部帳務缺漏：內部第 — 列／另一來源第 5 列；內部未找到可安全一對一配對交易；缺漏資料須先確認。</w:t>
      </w:r>
    </w:p>
    <w:p>
      <w:r>
        <w:t>內部帳務缺漏：內部第 — 列／另一來源第 9 列；內部未找到可安全一對一配對交易；缺漏資料須先確認。</w:t>
      </w:r>
    </w:p>
    <w:p>
      <w:r>
        <w:t>內部帳務缺漏：內部第 — 列／另一來源第 10 列；內部未找到可安全一對一配對交易；缺漏資料須先確認。</w:t>
      </w:r>
    </w:p>
    <w:sectPr w:rsidR="00FC693F" w:rsidRPr="0006063C" w:rsidSect="00034616">
      <w:pgSz w:w="11906" w:h="16838"/>
      <w:pgMar w:top="1191" w:right="1304" w:bottom="119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Microsoft JhengHei" w:hAnsi="Microsoft JhengHei" w:eastAsia="Microsoft Jheng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財務分析報告（教學模擬資料）</dc:title>
  <dc:subject/>
  <dc:creator>AI 辦公室工具包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