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財務分析報告（教學模擬資料）</w:t>
      </w:r>
    </w:p>
    <w:p>
      <w:pPr>
        <w:pStyle w:val="Heading1"/>
      </w:pPr>
      <w:r>
        <w:t>分析範圍與來源</w:t>
      </w:r>
    </w:p>
    <w:p>
      <w:r>
        <w:t>examples/finance-assistant/trial-balance/trial-balance.xlsx；SHA256：b60627bc65cbbf6f0bea5db7735a58bc7417fd738b2b1d91df5af4bf5a0ca22e</w:t>
      </w:r>
    </w:p>
    <w:p>
      <w:pPr>
        <w:pStyle w:val="Heading1"/>
      </w:pPr>
      <w:r>
        <w:t>計算摘要</w:t>
      </w:r>
    </w:p>
    <w:p>
      <w:r>
        <w:t>TWD／2026-10：收入減費用＝100000.00；借貸合計 450000.00／450000.00；資產負債差額 0.00。</w:t>
      </w:r>
    </w:p>
    <w:p>
      <w:pPr>
        <w:pStyle w:val="Heading1"/>
      </w:pPr>
      <w:r>
        <w:t>計算依據</w:t>
      </w:r>
    </w:p>
    <w:p>
      <w:r>
        <w:t>損益：收入＝貸方−借方；費用＝借方−貸方；本期損益＝收入−費用。</w:t>
      </w:r>
    </w:p>
    <w:p>
      <w:r>
        <w:t>資產負債：資產＝借−貸；負債及原始權益＝貸−借；權益含本期損益；差額＝資產−負債−權益−本期損益。</w:t>
      </w:r>
    </w:p>
    <w:p>
      <w:r>
        <w:t>完整性：complete 僅表示輸入列可分類且平衡；不代表正式財報、揭露、現金流量或會計查核完整。</w:t>
      </w:r>
    </w:p>
    <w:p>
      <w:pPr>
        <w:pStyle w:val="Heading1"/>
      </w:pPr>
      <w:r>
        <w:t>完整性與限制</w:t>
      </w:r>
    </w:p>
    <w:p>
      <w:r>
        <w:t>輸入列核對狀態：可計算且通過本次輸入層級檢查</w:t>
      </w:r>
    </w:p>
    <w:p>
      <w:r>
        <w:t>正式會計查核尚未完成；未新增交易、調整帳本或補造原因；所有明細見同名工作簿。</w:t>
      </w:r>
    </w:p>
    <w:p>
      <w:pPr>
        <w:pStyle w:val="Heading1"/>
      </w:pPr>
      <w:r>
        <w:t>待人工確認</w:t>
      </w:r>
    </w:p>
    <w:p>
      <w:r>
        <w:t>教學模擬資料，非真實公司帳務。</w:t>
      </w:r>
    </w:p>
    <w:p>
      <w:r>
        <w:t>TWD／2026-10 缺少足夠現金流量交易分類及核對資料，未編製現金流量表。</w:t>
      </w:r>
    </w:p>
    <w:p>
      <w:r>
        <w:t>會計準則及報表用途：教學模擬工作底稿，未指定正式會計準則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財務分析報告（教學模擬資料）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