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30"/>
        <w:ind w:left="0" w:right="0"/>
      </w:pPr>
    </w:p>
    <w:p>
      <w:pPr>
        <w:autoSpaceDN w:val="0"/>
        <w:autoSpaceDE w:val="0"/>
        <w:widowControl/>
        <w:spacing w:line="200" w:lineRule="exact" w:before="0" w:after="0"/>
        <w:ind w:left="0" w:right="1580" w:firstLine="0"/>
        <w:jc w:val="right"/>
      </w:pPr>
      <w:r>
        <w:rPr>
          <w:rFonts w:ascii="ArialNarrow" w:hAnsi="ArialNarrow" w:eastAsia="ArialNarrow"/>
          <w:b w:val="0"/>
          <w:i w:val="0"/>
          <w:color w:val="000000"/>
          <w:sz w:val="18"/>
        </w:rPr>
        <w:t>CliftonLarsonAllen LLP</w:t>
      </w:r>
    </w:p>
    <w:p>
      <w:pPr>
        <w:autoSpaceDN w:val="0"/>
        <w:autoSpaceDE w:val="0"/>
        <w:widowControl/>
        <w:spacing w:line="180" w:lineRule="exact" w:before="100" w:after="0"/>
        <w:ind w:left="0" w:right="1960" w:firstLine="0"/>
        <w:jc w:val="right"/>
      </w:pPr>
      <w:r>
        <w:rPr>
          <w:rFonts w:ascii="ArialNarrow" w:hAnsi="ArialNarrow" w:eastAsia="ArialNarrow"/>
          <w:b w:val="0"/>
          <w:i w:val="0"/>
          <w:color w:val="000000"/>
          <w:sz w:val="18"/>
        </w:rPr>
        <w:t>CLAconnect.com</w:t>
      </w:r>
    </w:p>
    <w:p>
      <w:pPr>
        <w:autoSpaceDN w:val="0"/>
        <w:autoSpaceDE w:val="0"/>
        <w:widowControl/>
        <w:spacing w:line="440" w:lineRule="exact" w:before="120" w:after="0"/>
        <w:ind w:left="0" w:right="37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CliftonLarsonAllen</w:t>
      </w:r>
    </w:p>
    <w:p>
      <w:pPr>
        <w:autoSpaceDN w:val="0"/>
        <w:autoSpaceDE w:val="0"/>
        <w:widowControl/>
        <w:spacing w:line="228" w:lineRule="auto" w:before="1460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2"/>
        </w:rPr>
        <w:t>INDEPENDENT AUDITORS' REPORT</w:t>
      </w:r>
    </w:p>
    <w:p>
      <w:pPr>
        <w:autoSpaceDN w:val="0"/>
        <w:autoSpaceDE w:val="0"/>
        <w:widowControl/>
        <w:spacing w:line="247" w:lineRule="auto" w:before="840" w:after="0"/>
        <w:ind w:left="20" w:right="547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Board of Directors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California State Water Resources Control Board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Sacramento, California</w:t>
      </w:r>
    </w:p>
    <w:p>
      <w:pPr>
        <w:autoSpaceDN w:val="0"/>
        <w:autoSpaceDE w:val="0"/>
        <w:widowControl/>
        <w:spacing w:line="247" w:lineRule="auto" w:before="300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Report on the Financial Statements</w:t>
      </w:r>
    </w:p>
    <w:p>
      <w:pPr>
        <w:autoSpaceDN w:val="0"/>
        <w:autoSpaceDE w:val="0"/>
        <w:widowControl/>
        <w:spacing w:line="247" w:lineRule="auto" w:before="80" w:after="0"/>
        <w:ind w:left="20" w:right="4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We have audited the accompanying financial statements of the California State Water Resources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Control Board, Water Pollution Control Revolving Fund (Water Pollution Control Revolving Fund), an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enterprise fund of the State of California, as of and for the years ended June 30, 2017 and 2016,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the related notes to the financial statements, which collectively comprise the entity's basic financial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statements as listed in the table of contents.</w:t>
      </w:r>
    </w:p>
    <w:p>
      <w:pPr>
        <w:autoSpaceDN w:val="0"/>
        <w:autoSpaceDE w:val="0"/>
        <w:widowControl/>
        <w:spacing w:line="247" w:lineRule="auto" w:before="300" w:after="0"/>
        <w:ind w:left="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Management's Responsibility for the Financial Statements</w:t>
      </w:r>
    </w:p>
    <w:p>
      <w:pPr>
        <w:autoSpaceDN w:val="0"/>
        <w:autoSpaceDE w:val="0"/>
        <w:widowControl/>
        <w:spacing w:line="247" w:lineRule="auto" w:before="80" w:after="0"/>
        <w:ind w:left="20" w:right="20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Management is responsible for the preparation and fair presentation of these financial statements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accordance with accounting principles generally accepted in the United States of America; this includes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the design, implementation, and maintenance of internal control relevant to the preparation and fair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presentation of financial statements that are free from material misstatement, whether due to fraud or</w:t>
      </w:r>
    </w:p>
    <w:p>
      <w:pPr>
        <w:autoSpaceDN w:val="0"/>
        <w:autoSpaceDE w:val="0"/>
        <w:widowControl/>
        <w:spacing w:line="190" w:lineRule="auto" w:before="60" w:after="0"/>
        <w:ind w:left="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error.</w:t>
      </w:r>
    </w:p>
    <w:p>
      <w:pPr>
        <w:autoSpaceDN w:val="0"/>
        <w:autoSpaceDE w:val="0"/>
        <w:widowControl/>
        <w:spacing w:line="266" w:lineRule="auto" w:before="300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Auditors' Responsibility</w:t>
      </w:r>
    </w:p>
    <w:p>
      <w:pPr>
        <w:autoSpaceDN w:val="0"/>
        <w:autoSpaceDE w:val="0"/>
        <w:widowControl/>
        <w:spacing w:line="250" w:lineRule="auto" w:before="60" w:after="0"/>
        <w:ind w:left="2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Our responsibility is to express an opinion on these financial statements based on our audits. We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conducted our audits in accordance with auditing standards generally accepted in the United States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America and the standards applicable to financial audits contained in Government Auditing Standards,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issued by the Comptroller General of the United States. Those standards require that we plan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perform the audit to obtain reasonable assurance about whether the financial statements are free from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material misstatement.</w:t>
      </w:r>
    </w:p>
    <w:p>
      <w:pPr>
        <w:autoSpaceDN w:val="0"/>
        <w:autoSpaceDE w:val="0"/>
        <w:widowControl/>
        <w:spacing w:line="252" w:lineRule="auto" w:before="300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An audit involves performing procedures to obtain audit evidence about the amounts and disclosures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the financial statements. The procedures selected depend on the auditors' judgment, including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assessment of the risks of material misstatement of the financial statements, whether due to fraud 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error. In making those risk assessments, the auditor considers internal control relevant to the entity's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preparation and fair presentation of the financial statements in order to design audit procedures that are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appropriate in the circumstances, but not for the purpose of expressing an opinion on the effectiveness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of the entity's internal control. Accordingly, we express no such opinion. An audit also includes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evaluating the appropriateness of accounting policies used and the reasonableness of significant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accounting estimates made by management, as well as evaluating the overall presentation of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financial statements.</w:t>
      </w:r>
    </w:p>
    <w:p>
      <w:pPr>
        <w:autoSpaceDN w:val="0"/>
        <w:tabs>
          <w:tab w:pos="5120" w:val="left"/>
        </w:tabs>
        <w:autoSpaceDE w:val="0"/>
        <w:widowControl/>
        <w:spacing w:line="320" w:lineRule="exact" w:before="920" w:after="0"/>
        <w:ind w:left="640" w:right="50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 member of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Nexia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>I</w:t>
      </w:r>
    </w:p>
    <w:p>
      <w:pPr>
        <w:autoSpaceDN w:val="0"/>
        <w:autoSpaceDE w:val="0"/>
        <w:widowControl/>
        <w:spacing w:line="180" w:lineRule="exact" w:before="0" w:after="0"/>
        <w:ind w:left="6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International</w:t>
      </w:r>
    </w:p>
    <w:p>
      <w:pPr>
        <w:sectPr>
          <w:pgSz w:w="12366" w:h="16838"/>
          <w:pgMar w:top="550" w:right="1066" w:bottom="300" w:left="1040" w:header="720" w:footer="720" w:gutter="0"/>
          <w:cols w:space="720" w:num="1" w:equalWidth="0">
            <w:col w:w="102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0" w:right="547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Board of Directors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California State Water Resources Control Board</w:t>
      </w:r>
    </w:p>
    <w:p>
      <w:pPr>
        <w:autoSpaceDN w:val="0"/>
        <w:autoSpaceDE w:val="0"/>
        <w:widowControl/>
        <w:spacing w:line="254" w:lineRule="auto" w:before="1160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As discussed in Note 1 - Definition of Reporting Entity, the basic financial statements of the California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State Water Resources Control Board, Water Pollution Control Revolving Fund are intended to present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the financial position, changes in financial position and cash flows of only that portion of the financial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reporting entity of the California State Water Resources Control Board that is attributable to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transactions of the California State Water Resources Control Board, Water Pollution Control Revolving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Fund. They do not purport to, and do not, present fairly the financial position of the California State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Water Resources Control Board or the State of California as of June 30, 2017 and 2016, and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changes in their financial position and their cash flows, where applicable, for the years then ended,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conformity with the accounting principles generally accepted in the United States of America.</w:t>
      </w:r>
    </w:p>
    <w:p>
      <w:pPr>
        <w:autoSpaceDN w:val="0"/>
        <w:autoSpaceDE w:val="0"/>
        <w:widowControl/>
        <w:spacing w:line="247" w:lineRule="auto" w:before="28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We believe that the audit evidence we have obtained is sufficient and appropriate to provide a basis for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our audit opinion.</w:t>
      </w:r>
    </w:p>
    <w:p>
      <w:pPr>
        <w:autoSpaceDN w:val="0"/>
        <w:autoSpaceDE w:val="0"/>
        <w:widowControl/>
        <w:spacing w:line="247" w:lineRule="auto" w:before="300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Opinion</w:t>
      </w:r>
    </w:p>
    <w:p>
      <w:pPr>
        <w:autoSpaceDN w:val="0"/>
        <w:autoSpaceDE w:val="0"/>
        <w:widowControl/>
        <w:spacing w:line="252" w:lineRule="auto" w:before="60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In our opinion, the financial statements referred to above present fairly, in all material respects,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respective financial position of the California State Water Resources Control Board, Water Pollution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Control Revolving Fund as of June 30, 2017 and 2016, and the respective changes in financial position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and cash flows thereof for the year then ended in accordance with accounting principles generally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accepted in the United States of America.</w:t>
      </w:r>
    </w:p>
    <w:p>
      <w:pPr>
        <w:autoSpaceDN w:val="0"/>
        <w:autoSpaceDE w:val="0"/>
        <w:widowControl/>
        <w:spacing w:line="247" w:lineRule="auto" w:before="280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Other Matters</w:t>
      </w:r>
    </w:p>
    <w:p>
      <w:pPr>
        <w:autoSpaceDN w:val="0"/>
        <w:autoSpaceDE w:val="0"/>
        <w:widowControl/>
        <w:spacing w:line="247" w:lineRule="auto" w:before="80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Required Supplementary Information</w:t>
      </w:r>
    </w:p>
    <w:p>
      <w:pPr>
        <w:autoSpaceDN w:val="0"/>
        <w:autoSpaceDE w:val="0"/>
        <w:widowControl/>
        <w:spacing w:line="254" w:lineRule="auto" w:before="80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Accounting principles generally accepted in the United States of America require that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management's discussion and analysis on pages IV through X be presented to supplement the basic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financial statements. Such information, although not a part of the basic financial statements, is required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by the Governmental Accounting Standards Board who considers it to be an essential part of financial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reporting for placing the basic financial statements in an appropriate operational, economic, or historical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context. We have applied certain limited procedures to the required supplementary information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accordance with auditing standards generally accepted in the United States of America, which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consisted of inquiries of management about the methods of preparing the information and comparing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the information for consistency with management's responses to our inquiries, the basic financial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statements, and other knowledge we obtained during our audit of the basic financial statements. We do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not express an opinion or provide any assurance on the information because the limited procedures do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not provide us with sufficient evidence to express an opinion or provide any assurance.</w:t>
      </w:r>
    </w:p>
    <w:p>
      <w:pPr>
        <w:autoSpaceDN w:val="0"/>
        <w:autoSpaceDE w:val="0"/>
        <w:widowControl/>
        <w:spacing w:line="228" w:lineRule="auto" w:before="280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Other Information</w:t>
      </w:r>
    </w:p>
    <w:p>
      <w:pPr>
        <w:autoSpaceDN w:val="0"/>
        <w:autoSpaceDE w:val="0"/>
        <w:widowControl/>
        <w:spacing w:line="250" w:lineRule="auto" w:before="100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Our audits were conducted for the purpose of forming an opinion on the financial statements that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collectively comprise the California State Water Resources Control Board, Water Pollution Control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Revolving Fund's basic financial statements. The schedule of federal awards, as required by Title 2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U.S. Code of Federal Regulations Part 200, Uniform Administrative Requirements, Cost Principles,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Audit Requirements for Federal Awards, is also presented for purposes of additional analysis and is not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 required part of the basic financial statements.</w:t>
      </w:r>
    </w:p>
    <w:p>
      <w:pPr>
        <w:sectPr>
          <w:pgSz w:w="12366" w:h="16838"/>
          <w:pgMar w:top="380" w:right="1066" w:bottom="1440" w:left="1060" w:header="720" w:footer="720" w:gutter="0"/>
          <w:cols w:space="720" w:num="1" w:equalWidth="0">
            <w:col w:w="10240" w:space="0"/>
            <w:col w:w="102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0" w:right="547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Board of Directors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California State Water Resources Control Board</w:t>
      </w:r>
    </w:p>
    <w:p>
      <w:pPr>
        <w:autoSpaceDN w:val="0"/>
        <w:autoSpaceDE w:val="0"/>
        <w:widowControl/>
        <w:spacing w:line="252" w:lineRule="auto" w:before="1160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The schedule of expenditures of federal awards is the responsibility of management and were derived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from and relate directly to the underlying accounting and other records used to prepare the basic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financial statements. Such information has been subjected to the auditing procedures applied in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audit of the basic financial statements and certain additional procedures, including comparing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reconciling such information directly to the underlying accounting and other records used to prepare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basic financial statements or to the basic financial statements themselves, and other additional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procedures in accordance with auditing standards generally accepted in the United States of America.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In our opinion, the information is fairly stated, in all material respects, in relation to the basic financial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statements as a whole.</w:t>
      </w:r>
    </w:p>
    <w:p>
      <w:pPr>
        <w:autoSpaceDN w:val="0"/>
        <w:autoSpaceDE w:val="0"/>
        <w:widowControl/>
        <w:spacing w:line="266" w:lineRule="auto" w:before="30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Other Reporting Required by Government Auditing Standards</w:t>
      </w:r>
    </w:p>
    <w:p>
      <w:pPr>
        <w:autoSpaceDN w:val="0"/>
        <w:autoSpaceDE w:val="0"/>
        <w:widowControl/>
        <w:spacing w:line="254" w:lineRule="auto" w:before="60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In accordance with Government Auditing Standards, we have also issued our report dated October 2,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2017, on our consideration of the Water Pollution Control Revolving Fund's internal control over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financial reporting and on our tests of its compliance with certain provisions of laws, regulations,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contracts, and grant agreements and other matters. The purpose of that report is solely to describe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scope of our testing of internal control over financial reporting and compliance and the result of that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testing, and not to provide an opinion on the effectiveness of the Water Pollution Control Revolving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Fund's internal control over financial reporting or on compliance. That report is an integral part of an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audit performed in accordance with Government Auditing Standards in considering Water Pollution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Control Revolving Fund's internal control over financial reporting and compliance.</w:t>
      </w:r>
    </w:p>
    <w:p>
      <w:pPr>
        <w:autoSpaceDN w:val="0"/>
        <w:autoSpaceDE w:val="0"/>
        <w:widowControl/>
        <w:spacing w:line="202" w:lineRule="auto" w:before="560" w:after="0"/>
        <w:ind w:left="0" w:right="0" w:firstLine="0"/>
        <w:jc w:val="left"/>
      </w:pPr>
      <w:r>
        <w:rPr>
          <w:rFonts w:ascii="0936" w:hAnsi="0936" w:eastAsia="0936"/>
          <w:b w:val="0"/>
          <w:i w:val="0"/>
          <w:color w:val="000000"/>
          <w:sz w:val="52"/>
        </w:rPr>
        <w:t>Clifton Larson Allen LLP</w:t>
      </w:r>
    </w:p>
    <w:p>
      <w:pPr>
        <w:autoSpaceDN w:val="0"/>
        <w:autoSpaceDE w:val="0"/>
        <w:widowControl/>
        <w:spacing w:line="226" w:lineRule="auto" w:before="40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CliftonLarsonAllen LLP</w:t>
      </w:r>
    </w:p>
    <w:p>
      <w:pPr>
        <w:autoSpaceDN w:val="0"/>
        <w:autoSpaceDE w:val="0"/>
        <w:widowControl/>
        <w:spacing w:line="226" w:lineRule="auto" w:before="28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Greenwood Village, Colorado</w:t>
      </w:r>
    </w:p>
    <w:p>
      <w:pPr>
        <w:autoSpaceDN w:val="0"/>
        <w:autoSpaceDE w:val="0"/>
        <w:widowControl/>
        <w:spacing w:line="228" w:lineRule="auto" w:before="2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October 2, 2017</w:t>
      </w:r>
    </w:p>
    <w:p>
      <w:pPr>
        <w:sectPr>
          <w:pgSz w:w="12366" w:h="16838"/>
          <w:pgMar w:top="380" w:right="1066" w:bottom="1440" w:left="1060" w:header="720" w:footer="720" w:gutter="0"/>
          <w:cols w:space="720" w:num="1" w:equalWidth="0">
            <w:col w:w="10240" w:space="0"/>
            <w:col w:w="10240" w:space="0"/>
            <w:col w:w="102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0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448" w:right="2592" w:firstLine="0"/>
        <w:jc w:val="center"/>
      </w:pPr>
      <w:r>
        <w:rPr>
          <w:rFonts w:ascii="Arial" w:hAnsi="Arial" w:eastAsia="Arial"/>
          <w:b/>
          <w:i w:val="0"/>
          <w:color w:val="000000"/>
          <w:sz w:val="22"/>
        </w:rPr>
        <w:t>California State Water Resources Control Board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Water Pollution Control Revolving Fund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State Revolving Fund Program</w:t>
      </w:r>
    </w:p>
    <w:p>
      <w:pPr>
        <w:autoSpaceDN w:val="0"/>
        <w:autoSpaceDE w:val="0"/>
        <w:widowControl/>
        <w:spacing w:line="247" w:lineRule="auto" w:before="260" w:after="0"/>
        <w:ind w:left="0" w:right="3160" w:firstLine="0"/>
        <w:jc w:val="right"/>
      </w:pPr>
      <w:r>
        <w:rPr>
          <w:rFonts w:ascii="Arial" w:hAnsi="Arial" w:eastAsia="Arial"/>
          <w:b/>
          <w:i w:val="0"/>
          <w:color w:val="000000"/>
          <w:sz w:val="22"/>
        </w:rPr>
        <w:t>Management's Discussion &amp; Analysis</w:t>
      </w:r>
    </w:p>
    <w:p>
      <w:pPr>
        <w:autoSpaceDN w:val="0"/>
        <w:autoSpaceDE w:val="0"/>
        <w:widowControl/>
        <w:spacing w:line="254" w:lineRule="auto" w:before="280" w:after="0"/>
        <w:ind w:left="0" w:right="4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The following Management's Discussion and Analysis is a required supplement to the California State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Water Resources Control Board's (State Water Board), Water Pollution Control Revolving Fund (Clean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Water State Revolving Fund program) (CWSRF) financial statements. It describes and analyzes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financial position of the CWSRF providing an overview of the CWSRF's activities for the years ended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June 30, 2017 and 2016. We encourage readers to consider the information presented here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conjunction with information that is in the financial statements and notes, which follow this section.</w:t>
      </w:r>
    </w:p>
    <w:p>
      <w:pPr>
        <w:autoSpaceDN w:val="0"/>
        <w:autoSpaceDE w:val="0"/>
        <w:widowControl/>
        <w:spacing w:line="266" w:lineRule="auto" w:before="28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Financial Highlights</w:t>
      </w:r>
    </w:p>
    <w:p>
      <w:pPr>
        <w:autoSpaceDN w:val="0"/>
        <w:autoSpaceDE w:val="0"/>
        <w:widowControl/>
        <w:spacing w:line="257" w:lineRule="auto" w:before="0" w:after="0"/>
        <w:ind w:left="700" w:right="60" w:hanging="34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. Net position increased by $113.1 million to a total of $4 billion in 2017, which was $8.4 million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less than the increase of $121.5 million in 2016. The smaller increase in net position is a direct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result of lower capital contributions during the year from the U.S. Environmental Protection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Agency (EPA).</w:t>
      </w:r>
    </w:p>
    <w:p>
      <w:pPr>
        <w:autoSpaceDN w:val="0"/>
        <w:autoSpaceDE w:val="0"/>
        <w:widowControl/>
        <w:spacing w:line="252" w:lineRule="auto" w:before="280" w:after="0"/>
        <w:ind w:left="700" w:right="40" w:hanging="36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· Capital contributions decreased by $8.9 million to $65.8 million as compared to $74.7 million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2016. The decrease in capital contributions was mostly a result of less capital available from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EPA capitalization grants for loan disbursements. Capital contributions from EPA capitalization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grant funds that were forgiven decreased by $3 million to $5 million as compared to $8 million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2016.</w:t>
      </w:r>
    </w:p>
    <w:p>
      <w:pPr>
        <w:autoSpaceDN w:val="0"/>
        <w:autoSpaceDE w:val="0"/>
        <w:widowControl/>
        <w:spacing w:line="254" w:lineRule="auto" w:before="320" w:after="0"/>
        <w:ind w:left="700" w:right="40" w:hanging="2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Cash and cash equivalents increased by $308 million in 2017 as compared to an increase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$452 million in 2016. The increase in 2017 was mostly the result of an increase in cash from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issuance of the Series 2017 Revenue Bond and several payoffs of loan receivables.</w:t>
      </w:r>
    </w:p>
    <w:p>
      <w:pPr>
        <w:autoSpaceDN w:val="0"/>
        <w:autoSpaceDE w:val="0"/>
        <w:widowControl/>
        <w:spacing w:line="257" w:lineRule="auto" w:before="280" w:after="0"/>
        <w:ind w:left="700" w:right="60" w:hanging="34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. Loans receivable increased by $309 million to $4 billion in 2017 and increased by $155 million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in 2016. The larger increase in 2017 mostly reflects an increase in loan disbursements.</w:t>
      </w:r>
    </w:p>
    <w:p>
      <w:pPr>
        <w:autoSpaceDN w:val="0"/>
        <w:autoSpaceDE w:val="0"/>
        <w:widowControl/>
        <w:spacing w:line="259" w:lineRule="auto" w:before="280" w:after="0"/>
        <w:ind w:left="700" w:right="20" w:hanging="34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. On March 23, 2017, the CWSRF issued California Infrastructure and Economic Development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Bank, Clean Water State Revolving Fund Revenue Bonds, Series 2017 for $450 million at 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premium of $79.5 million. The Series 2017 Revenue Bonds were issued for the purpose of</w:t>
      </w:r>
    </w:p>
    <w:p>
      <w:pPr>
        <w:autoSpaceDN w:val="0"/>
        <w:autoSpaceDE w:val="0"/>
        <w:widowControl/>
        <w:spacing w:line="247" w:lineRule="auto" w:before="0" w:after="0"/>
        <w:ind w:left="7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making financial assistance available to recipients for eligible projects.</w:t>
      </w:r>
    </w:p>
    <w:p>
      <w:pPr>
        <w:autoSpaceDN w:val="0"/>
        <w:autoSpaceDE w:val="0"/>
        <w:widowControl/>
        <w:spacing w:line="247" w:lineRule="auto" w:before="300" w:after="0"/>
        <w:ind w:left="700" w:right="40" w:hanging="34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. Restricted portion of net position decreased by $100 million to $1.5 billion in 2017 as compared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to an increase of $1.3 billion in 2016. The decrease in 2017 reflects the decrease in notes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receivables for loans pledged to the Series 2012, 2016 and 2017 Revenue Bonds as a result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repayments received and the related debt service payments. The increase in 2016 reflects the</w:t>
      </w:r>
    </w:p>
    <w:p>
      <w:pPr>
        <w:autoSpaceDN w:val="0"/>
        <w:autoSpaceDE w:val="0"/>
        <w:widowControl/>
        <w:spacing w:line="228" w:lineRule="auto" w:before="40" w:after="0"/>
        <w:ind w:left="70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greater pledged loan requirements of the Series 2016 Revenue Bonds.</w:t>
      </w:r>
    </w:p>
    <w:p>
      <w:pPr>
        <w:autoSpaceDN w:val="0"/>
        <w:autoSpaceDE w:val="0"/>
        <w:widowControl/>
        <w:spacing w:line="247" w:lineRule="auto" w:before="28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Using this Annual Financial Report</w:t>
      </w:r>
    </w:p>
    <w:p>
      <w:pPr>
        <w:autoSpaceDN w:val="0"/>
        <w:autoSpaceDE w:val="0"/>
        <w:widowControl/>
        <w:spacing w:line="254" w:lineRule="auto" w:before="280" w:after="0"/>
        <w:ind w:left="0" w:right="4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The financial statements included in this annual financial report are those of the CWSRF. As discussed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in Note 1, Definition of Reporting Entity, the basic financial statements of the CWSRF are intended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present the financial position, changes in financial position, and cash flows of only that portion of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financial reporting entity of the State Water Board that is attributable to the transactions of the CWSRF.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They do not purport to present the financial position of the State Water Board or the State of California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(State) as of June 30, 2017 and 2016 and the change in their financial positions and their cash flows for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the years then ended.</w:t>
      </w:r>
    </w:p>
    <w:p>
      <w:pPr>
        <w:autoSpaceDN w:val="0"/>
        <w:autoSpaceDE w:val="0"/>
        <w:widowControl/>
        <w:spacing w:line="190" w:lineRule="auto" w:before="20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>IV</w:t>
      </w:r>
    </w:p>
    <w:p>
      <w:pPr>
        <w:sectPr>
          <w:pgSz w:w="12366" w:h="16838"/>
          <w:pgMar w:top="760" w:right="1046" w:bottom="420" w:left="1060" w:header="720" w:footer="720" w:gutter="0"/>
          <w:cols w:space="720" w:num="1" w:equalWidth="0">
            <w:col w:w="10260" w:space="0"/>
            <w:col w:w="10240" w:space="0"/>
            <w:col w:w="10240" w:space="0"/>
            <w:col w:w="102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0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Overview of Financial Statements</w:t>
      </w:r>
    </w:p>
    <w:p>
      <w:pPr>
        <w:autoSpaceDN w:val="0"/>
        <w:autoSpaceDE w:val="0"/>
        <w:widowControl/>
        <w:spacing w:line="247" w:lineRule="auto" w:before="280" w:after="0"/>
        <w:ind w:left="0" w:right="4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This discussion and analysis is an introduction to the CWSRF financial statements and accompanying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notes to financial statements. This report also contains required supplementary information and other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supplementary information.</w:t>
      </w:r>
    </w:p>
    <w:p>
      <w:pPr>
        <w:autoSpaceDN w:val="0"/>
        <w:autoSpaceDE w:val="0"/>
        <w:widowControl/>
        <w:spacing w:line="250" w:lineRule="auto" w:before="300" w:after="0"/>
        <w:ind w:left="0" w:right="6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The financial statements of the CWSRF are presented as a special purpose government engaged only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in business type activities - providing loans to other governmental entities. The statements provide both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short-term and long-term information about the CWSRF's financial position, which assists the reader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assessing the CWSRF's economic condition at the end of the fiscal year. These statements are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prepared using the accrual basis of accounting. The financial statements include the following three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statements:</w:t>
      </w:r>
    </w:p>
    <w:p>
      <w:pPr>
        <w:autoSpaceDN w:val="0"/>
        <w:autoSpaceDE w:val="0"/>
        <w:widowControl/>
        <w:spacing w:line="257" w:lineRule="auto" w:before="320" w:after="0"/>
        <w:ind w:left="700" w:right="40" w:hanging="34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. The Statements of Net Position present information on all of the CWSRF's assets, deferred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outflows of resources, liabilities and deferred inflows of resources with the difference reported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as net position. Over time, increases or decreases in net position are expected to serve as 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useful indicator of whether the financial position of the CWSRF is improving or deteriorating.</w:t>
      </w:r>
    </w:p>
    <w:p>
      <w:pPr>
        <w:autoSpaceDN w:val="0"/>
        <w:autoSpaceDE w:val="0"/>
        <w:widowControl/>
        <w:spacing w:line="254" w:lineRule="auto" w:before="260" w:after="0"/>
        <w:ind w:left="700" w:right="40" w:hanging="34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. The Statements of Revenues, Expenses, and Changes in Net Position present information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which reflects how the CWSRF's net position changed during the past year. All changes in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net position are reported as soon as the underlying event giving rise to the change occurs,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regardless of the timing of the cash flows. Thus, revenues and expenses are reported in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statement for some items that will only result in cash flows in future fiscal periods.</w:t>
      </w:r>
    </w:p>
    <w:p>
      <w:pPr>
        <w:autoSpaceDN w:val="0"/>
        <w:autoSpaceDE w:val="0"/>
        <w:widowControl/>
        <w:spacing w:line="247" w:lineRule="auto" w:before="300" w:after="0"/>
        <w:ind w:left="700" w:right="60" w:hanging="34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. The Statements of Cash Flows report the CWSRF's cash flows from operating activities,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noncapital financing activities, and investing activities.</w:t>
      </w:r>
    </w:p>
    <w:p>
      <w:pPr>
        <w:autoSpaceDN w:val="0"/>
        <w:autoSpaceDE w:val="0"/>
        <w:widowControl/>
        <w:spacing w:line="247" w:lineRule="auto" w:before="300" w:after="0"/>
        <w:ind w:left="20" w:right="40" w:hanging="2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The Notes to Financial Statements provide additional information that is essential to a full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understanding of the data provided in the financial statements. These notes can be found immediately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following the financial statements.</w:t>
      </w:r>
    </w:p>
    <w:p>
      <w:pPr>
        <w:autoSpaceDN w:val="0"/>
        <w:autoSpaceDE w:val="0"/>
        <w:widowControl/>
        <w:spacing w:line="228" w:lineRule="auto" w:before="28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Net Position</w:t>
      </w:r>
    </w:p>
    <w:p>
      <w:pPr>
        <w:autoSpaceDN w:val="0"/>
        <w:autoSpaceDE w:val="0"/>
        <w:widowControl/>
        <w:spacing w:line="257" w:lineRule="auto" w:before="300" w:after="0"/>
        <w:ind w:left="0" w:right="6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In 2017, the growth of the CWSRF's net position continued to strengthen increasing by $113.1 million,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or 2.9%, to $4 billion at June 30, 2017 as compared to an increase of $121.5 million, or 3.2%,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previous year. The increase in net position was $8.4 million lower than in the previous year, mostly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reflecting the lower level of capital contributions from EPA capitalization grants.</w:t>
      </w:r>
    </w:p>
    <w:p>
      <w:pPr>
        <w:autoSpaceDN w:val="0"/>
        <w:autoSpaceDE w:val="0"/>
        <w:widowControl/>
        <w:spacing w:line="247" w:lineRule="auto" w:before="280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The current portion of the CWSRF's liabilities was $57 million in 2017 and $29 million in 2016. Current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liabilities primarily correspond to continuing principal payments for the Series 2012, 2016 and 2017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Revenue Bonds. Noncurrent liabilities increased by $481 million in 2017 as compared to an increase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$476 million in 2016. The increase in 2017 is a result of the issuance of the Series 2017 Revenue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Bonds while the increase in 2016 is the result of the issuance of the Series 2016 Revenue Bond.</w:t>
      </w:r>
    </w:p>
    <w:p>
      <w:pPr>
        <w:autoSpaceDN w:val="0"/>
        <w:autoSpaceDE w:val="0"/>
        <w:widowControl/>
        <w:spacing w:line="254" w:lineRule="auto" w:before="300" w:after="0"/>
        <w:ind w:left="0" w:right="4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A segment of the CWSRF's net position is subject to external restriction due to the debt service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requirements of the Series 2012, 2016 and 2017 Revenue Bonds. The net position that is restricted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decreased in 2017 by $100 million to $1.5 billion, or 6.1%, as compared to an increase in 2016 of $1.3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billion to $1.6 billion, or 377.7%. The decrease in 2017 was primarily due to several early payoffs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loan receivables and ongoing debt service payments. The increase in 2016 was primarily due to an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increase in pledged loan receivables to secure the issuance of the Series 2016 Revenue Bonds.</w:t>
      </w:r>
    </w:p>
    <w:p>
      <w:pPr>
        <w:autoSpaceDN w:val="0"/>
        <w:autoSpaceDE w:val="0"/>
        <w:widowControl/>
        <w:spacing w:line="228" w:lineRule="auto" w:before="80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>V</w:t>
      </w:r>
    </w:p>
    <w:p>
      <w:pPr>
        <w:sectPr>
          <w:pgSz w:w="12366" w:h="16838"/>
          <w:pgMar w:top="760" w:right="1046" w:bottom="400" w:left="1060" w:header="720" w:footer="720" w:gutter="0"/>
          <w:cols w:space="720" w:num="1" w:equalWidth="0">
            <w:col w:w="10260" w:space="0"/>
            <w:col w:w="10260" w:space="0"/>
            <w:col w:w="10240" w:space="0"/>
            <w:col w:w="10240" w:space="0"/>
            <w:col w:w="102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0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60" w:right="4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Of the total restricted net position, $1.377 billion in 2017 and $1.567 billion in 2016 represent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balance of outstanding loans that were pledged as security to the Series 2012, 2016 and 2017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Revenue Bond debt service. The principal and interest received during the fiscal year from these loans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is used to make the semi-annual debt service payments on the revenue bonds.</w:t>
      </w:r>
    </w:p>
    <w:p>
      <w:pPr>
        <w:autoSpaceDN w:val="0"/>
        <w:autoSpaceDE w:val="0"/>
        <w:widowControl/>
        <w:spacing w:line="254" w:lineRule="auto" w:before="280" w:after="0"/>
        <w:ind w:left="6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The CWSRF received total payments on pledged loans of $234.3 million ($207.3 million of principal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$27 million of interest) in 2017 of which the debt service payment was $31.5 million ($13 million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principal and $18.5 million of interest). In 2016, the CWSRF received total payments on pledged loans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of $40.9 million ($32.7 million of principal and $8.2 million of interest) of which the debt service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payments were $14.3 million ($13 million of principal and $1.3 million of interest).</w:t>
      </w:r>
    </w:p>
    <w:p>
      <w:pPr>
        <w:autoSpaceDN w:val="0"/>
        <w:autoSpaceDE w:val="0"/>
        <w:widowControl/>
        <w:spacing w:line="252" w:lineRule="auto" w:before="280" w:after="290"/>
        <w:ind w:left="6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The remaining $157.6 million of restricted net position in 2017 and $66.9 million in 2017 represent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pledged loan repayments, which are restricted for future loan disbursements and/or debt service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payments. Any excess of principal and interest received over the required debt service may be used for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future loan disbursements and/or released from restriction in the event that certain criteria are met.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75"/>
        <w:gridCol w:w="2575"/>
        <w:gridCol w:w="2575"/>
        <w:gridCol w:w="2575"/>
      </w:tblGrid>
      <w:tr>
        <w:trPr>
          <w:trHeight w:hRule="exact" w:val="287"/>
        </w:trPr>
        <w:tc>
          <w:tcPr>
            <w:tcW w:type="dxa" w:w="10260"/>
            <w:gridSpan w:val="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90" w:right="0" w:firstLine="0"/>
              <w:jc w:val="lef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Table 1</w:t>
            </w:r>
          </w:p>
        </w:tc>
      </w:tr>
      <w:tr>
        <w:trPr>
          <w:trHeight w:hRule="exact" w:val="308"/>
        </w:trPr>
        <w:tc>
          <w:tcPr>
            <w:tcW w:type="dxa" w:w="4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90" w:right="0" w:firstLine="0"/>
              <w:jc w:val="lef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Net Position</w:t>
            </w:r>
          </w:p>
        </w:tc>
        <w:tc>
          <w:tcPr>
            <w:tcW w:type="dxa" w:w="2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9"/>
        </w:trPr>
        <w:tc>
          <w:tcPr>
            <w:tcW w:type="dxa" w:w="10260"/>
            <w:gridSpan w:val="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90" w:right="0" w:firstLine="0"/>
              <w:jc w:val="lef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(in thousands)</w:t>
            </w:r>
          </w:p>
        </w:tc>
      </w:tr>
      <w:tr>
        <w:trPr>
          <w:trHeight w:hRule="exact" w:val="308"/>
        </w:trPr>
        <w:tc>
          <w:tcPr>
            <w:tcW w:type="dxa" w:w="422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6040"/>
            <w:gridSpan w:val="3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130" w:firstLine="0"/>
              <w:jc w:val="righ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June 30,</w:t>
            </w:r>
          </w:p>
        </w:tc>
      </w:tr>
      <w:tr>
        <w:trPr>
          <w:trHeight w:hRule="exact" w:val="298"/>
        </w:trPr>
        <w:tc>
          <w:tcPr>
            <w:tcW w:type="dxa" w:w="2575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2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0" w:right="650" w:firstLine="0"/>
              <w:jc w:val="righ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2017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0" w:firstLine="0"/>
              <w:jc w:val="center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2016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0" w:firstLine="0"/>
              <w:jc w:val="center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2015</w:t>
            </w:r>
          </w:p>
        </w:tc>
      </w:tr>
      <w:tr>
        <w:trPr>
          <w:trHeight w:hRule="exact" w:val="276"/>
        </w:trPr>
        <w:tc>
          <w:tcPr>
            <w:tcW w:type="dxa" w:w="4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90" w:right="0" w:firstLine="0"/>
              <w:jc w:val="lef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ASSETS</w:t>
            </w:r>
          </w:p>
        </w:tc>
        <w:tc>
          <w:tcPr>
            <w:tcW w:type="dxa" w:w="2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0"/>
        </w:trPr>
        <w:tc>
          <w:tcPr>
            <w:tcW w:type="dxa" w:w="4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37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Cash and cash equivalents</w:t>
            </w:r>
          </w:p>
        </w:tc>
        <w:tc>
          <w:tcPr>
            <w:tcW w:type="dxa" w:w="2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70" w:val="left"/>
              </w:tabs>
              <w:autoSpaceDE w:val="0"/>
              <w:widowControl/>
              <w:spacing w:line="240" w:lineRule="exact" w:before="30" w:after="0"/>
              <w:ind w:left="105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1,039,972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0" w:val="left"/>
              </w:tabs>
              <w:autoSpaceDE w:val="0"/>
              <w:widowControl/>
              <w:spacing w:line="240" w:lineRule="exact" w:before="30" w:after="0"/>
              <w:ind w:left="19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731,798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0" w:val="left"/>
              </w:tabs>
              <w:autoSpaceDE w:val="0"/>
              <w:widowControl/>
              <w:spacing w:line="240" w:lineRule="exact" w:before="30" w:after="0"/>
              <w:ind w:left="17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279,374</w:t>
            </w:r>
          </w:p>
        </w:tc>
      </w:tr>
      <w:tr>
        <w:trPr>
          <w:trHeight w:hRule="exact" w:val="319"/>
        </w:trPr>
        <w:tc>
          <w:tcPr>
            <w:tcW w:type="dxa" w:w="4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39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Loans receivable</w:t>
            </w:r>
          </w:p>
        </w:tc>
        <w:tc>
          <w:tcPr>
            <w:tcW w:type="dxa" w:w="2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9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4,010,218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21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3,700,721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3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3,545,617</w:t>
            </w:r>
          </w:p>
        </w:tc>
      </w:tr>
      <w:tr>
        <w:trPr>
          <w:trHeight w:hRule="exact" w:val="287"/>
        </w:trPr>
        <w:tc>
          <w:tcPr>
            <w:tcW w:type="dxa" w:w="4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37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All other assets</w:t>
            </w:r>
          </w:p>
        </w:tc>
        <w:tc>
          <w:tcPr>
            <w:tcW w:type="dxa" w:w="2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17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28,525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9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24,341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1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20,075</w:t>
            </w:r>
          </w:p>
        </w:tc>
      </w:tr>
      <w:tr>
        <w:trPr>
          <w:trHeight w:hRule="exact" w:val="457"/>
        </w:trPr>
        <w:tc>
          <w:tcPr>
            <w:tcW w:type="dxa" w:w="4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670" w:right="0" w:firstLine="0"/>
              <w:jc w:val="lef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Total assets</w:t>
            </w:r>
          </w:p>
        </w:tc>
        <w:tc>
          <w:tcPr>
            <w:tcW w:type="dxa" w:w="2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70" w:firstLine="0"/>
              <w:jc w:val="righ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5,078,715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0" w:right="19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4,456,860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1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3,845,066</w:t>
            </w:r>
          </w:p>
        </w:tc>
      </w:tr>
      <w:tr>
        <w:trPr>
          <w:trHeight w:hRule="exact" w:val="457"/>
        </w:trPr>
        <w:tc>
          <w:tcPr>
            <w:tcW w:type="dxa" w:w="4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0" w:after="0"/>
              <w:ind w:left="110" w:right="0" w:firstLine="0"/>
              <w:jc w:val="lef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LIABILITIES</w:t>
            </w:r>
          </w:p>
        </w:tc>
        <w:tc>
          <w:tcPr>
            <w:tcW w:type="dxa" w:w="2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4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39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Current liabilities</w:t>
            </w:r>
          </w:p>
        </w:tc>
        <w:tc>
          <w:tcPr>
            <w:tcW w:type="dxa" w:w="2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9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56,921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29,157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9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15,830</w:t>
            </w:r>
          </w:p>
        </w:tc>
      </w:tr>
      <w:tr>
        <w:trPr>
          <w:trHeight w:hRule="exact" w:val="298"/>
        </w:trPr>
        <w:tc>
          <w:tcPr>
            <w:tcW w:type="dxa" w:w="4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37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Noncurrent liabilities</w:t>
            </w:r>
          </w:p>
        </w:tc>
        <w:tc>
          <w:tcPr>
            <w:tcW w:type="dxa" w:w="2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19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988,785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17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507,846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13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30,905</w:t>
            </w:r>
          </w:p>
        </w:tc>
      </w:tr>
      <w:tr>
        <w:trPr>
          <w:trHeight w:hRule="exact" w:val="457"/>
        </w:trPr>
        <w:tc>
          <w:tcPr>
            <w:tcW w:type="dxa" w:w="4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670" w:right="0" w:firstLine="0"/>
              <w:jc w:val="lef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Total liabilities</w:t>
            </w:r>
          </w:p>
        </w:tc>
        <w:tc>
          <w:tcPr>
            <w:tcW w:type="dxa" w:w="2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17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1,045,706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17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537,003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11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46,735</w:t>
            </w:r>
          </w:p>
        </w:tc>
      </w:tr>
      <w:tr>
        <w:trPr>
          <w:trHeight w:hRule="exact" w:val="446"/>
        </w:trPr>
        <w:tc>
          <w:tcPr>
            <w:tcW w:type="dxa" w:w="4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0" w:after="0"/>
              <w:ind w:left="90" w:right="0" w:firstLine="0"/>
              <w:jc w:val="lef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NET POSITION</w:t>
            </w:r>
          </w:p>
        </w:tc>
        <w:tc>
          <w:tcPr>
            <w:tcW w:type="dxa" w:w="2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4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390" w:right="0" w:firstLine="0"/>
              <w:jc w:val="lef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Restricted</w:t>
            </w:r>
          </w:p>
        </w:tc>
        <w:tc>
          <w:tcPr>
            <w:tcW w:type="dxa" w:w="2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8"/>
        </w:trPr>
        <w:tc>
          <w:tcPr>
            <w:tcW w:type="dxa" w:w="4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67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Debt service</w:t>
            </w:r>
          </w:p>
        </w:tc>
        <w:tc>
          <w:tcPr>
            <w:tcW w:type="dxa" w:w="2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0" w:right="19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157,601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0" w:right="17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66,876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0" w:right="13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37,320</w:t>
            </w:r>
          </w:p>
        </w:tc>
      </w:tr>
      <w:tr>
        <w:trPr>
          <w:trHeight w:hRule="exact" w:val="319"/>
        </w:trPr>
        <w:tc>
          <w:tcPr>
            <w:tcW w:type="dxa" w:w="4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67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Security for revenue bonds</w:t>
            </w:r>
          </w:p>
        </w:tc>
        <w:tc>
          <w:tcPr>
            <w:tcW w:type="dxa" w:w="2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9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1,376,682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7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1,567,358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3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304,797</w:t>
            </w:r>
          </w:p>
        </w:tc>
      </w:tr>
      <w:tr>
        <w:trPr>
          <w:trHeight w:hRule="exact" w:val="457"/>
        </w:trPr>
        <w:tc>
          <w:tcPr>
            <w:tcW w:type="dxa" w:w="4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97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Subtotal restricted assets</w:t>
            </w:r>
          </w:p>
        </w:tc>
        <w:tc>
          <w:tcPr>
            <w:tcW w:type="dxa" w:w="2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7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1,534,283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1,634,234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1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342,117</w:t>
            </w:r>
          </w:p>
        </w:tc>
      </w:tr>
      <w:tr>
        <w:trPr>
          <w:trHeight w:hRule="exact" w:val="446"/>
        </w:trPr>
        <w:tc>
          <w:tcPr>
            <w:tcW w:type="dxa" w:w="4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0" w:after="0"/>
              <w:ind w:left="37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Unrestricted</w:t>
            </w:r>
          </w:p>
        </w:tc>
        <w:tc>
          <w:tcPr>
            <w:tcW w:type="dxa" w:w="2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0" w:after="0"/>
              <w:ind w:left="0" w:right="17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2,498,726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0" w:after="0"/>
              <w:ind w:left="0" w:right="17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2,285,623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0" w:after="0"/>
              <w:ind w:left="0" w:right="130" w:firstLine="0"/>
              <w:jc w:val="righ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3,456,214</w:t>
            </w:r>
          </w:p>
        </w:tc>
      </w:tr>
      <w:tr>
        <w:trPr>
          <w:trHeight w:hRule="exact" w:val="638"/>
        </w:trPr>
        <w:tc>
          <w:tcPr>
            <w:tcW w:type="dxa" w:w="42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670" w:right="0" w:firstLine="0"/>
              <w:jc w:val="lef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Total net position</w:t>
            </w:r>
          </w:p>
        </w:tc>
        <w:tc>
          <w:tcPr>
            <w:tcW w:type="dxa" w:w="2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30" w:val="left"/>
              </w:tabs>
              <w:autoSpaceDE w:val="0"/>
              <w:widowControl/>
              <w:spacing w:line="220" w:lineRule="exact" w:before="30" w:after="0"/>
              <w:ind w:left="1050" w:right="0" w:firstLine="0"/>
              <w:jc w:val="lef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4,033,009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0" w:val="left"/>
              </w:tabs>
              <w:autoSpaceDE w:val="0"/>
              <w:widowControl/>
              <w:spacing w:line="220" w:lineRule="exact" w:before="30" w:after="0"/>
              <w:ind w:left="17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3,919,857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20" w:lineRule="exact" w:before="30" w:after="0"/>
              <w:ind w:left="17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3,798,331</w:t>
            </w:r>
          </w:p>
        </w:tc>
      </w:tr>
    </w:tbl>
    <w:p>
      <w:pPr>
        <w:autoSpaceDN w:val="0"/>
        <w:autoSpaceDE w:val="0"/>
        <w:widowControl/>
        <w:spacing w:line="228" w:lineRule="auto" w:before="233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>VI</w:t>
      </w:r>
    </w:p>
    <w:p>
      <w:pPr>
        <w:sectPr>
          <w:pgSz w:w="12366" w:h="16838"/>
          <w:pgMar w:top="760" w:right="1066" w:bottom="400" w:left="1000" w:header="720" w:footer="720" w:gutter="0"/>
          <w:cols w:space="720" w:num="1" w:equalWidth="0">
            <w:col w:w="10300" w:space="0"/>
            <w:col w:w="10260" w:space="0"/>
            <w:col w:w="10260" w:space="0"/>
            <w:col w:w="10240" w:space="0"/>
            <w:col w:w="10240" w:space="0"/>
            <w:col w:w="102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0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Changes in Net Position</w:t>
      </w:r>
    </w:p>
    <w:p>
      <w:pPr>
        <w:autoSpaceDN w:val="0"/>
        <w:autoSpaceDE w:val="0"/>
        <w:widowControl/>
        <w:spacing w:line="254" w:lineRule="auto" w:before="280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Program revenue for the CWSRF in 2017 was $59.6 million of which $25.3 million is restricted for debt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service. Program revenue in 2016 was $57.6 million of which $22.2 million was restricted for debt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service. In 2017, program revenue increased by $2 million or 3.43% and in 2016 increased by $2.1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million or 3.75%. In 2017 and 2016, program revenue reflects an increase in outstanding receivables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and the interest earned year over year on those receivables.</w:t>
      </w:r>
    </w:p>
    <w:p>
      <w:pPr>
        <w:autoSpaceDN w:val="0"/>
        <w:autoSpaceDE w:val="0"/>
        <w:widowControl/>
        <w:spacing w:line="252" w:lineRule="auto" w:before="280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In 2017, general revenue was $6.0 million, which was an increase of $4.6 million or 331%, when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compared to $1.4 million in 2016. In 2016, general revenue increased $0.6 million or 75% compared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$0.8 million in 2015. The increase in investment income during 2017 and 2016 mostly reflects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increased earnings that resulted from more cash on deposit</w:t>
      </w:r>
    </w:p>
    <w:p>
      <w:pPr>
        <w:autoSpaceDN w:val="0"/>
        <w:autoSpaceDE w:val="0"/>
        <w:widowControl/>
        <w:spacing w:line="254" w:lineRule="auto" w:before="280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Total expenses increased by $6 million in 2017 as compared to a decrease of $12.8 million in 2016.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The increase in 2017 was primarily due to an increase in revenue bond expenses. The decrease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2016 was primarily due to a decrease in principal forgiveness expenses.</w:t>
      </w:r>
    </w:p>
    <w:p>
      <w:pPr>
        <w:autoSpaceDN w:val="0"/>
        <w:autoSpaceDE w:val="0"/>
        <w:widowControl/>
        <w:spacing w:line="250" w:lineRule="auto" w:before="280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Administrative expenses decreased $1.2 million to -$0.8 million in 2017 compared to 2016.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Administrative expenses decreased $0.8 million to $0.3 million in 2016 compared to 2015.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reduction of administrative expenses charged to the CWSRF during 2017 and 2016 primarily reflects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the use of the CWSRF Administration Fund instead of the CWSRF as the primary source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administrative funding. In 2017 and 2016, administrative expenses of $9.2 million and $8.7 million,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respectively, were charged to the CWSRF Administration Fund.</w:t>
      </w:r>
    </w:p>
    <w:p>
      <w:pPr>
        <w:autoSpaceDN w:val="0"/>
        <w:autoSpaceDE w:val="0"/>
        <w:widowControl/>
        <w:spacing w:line="252" w:lineRule="auto" w:before="300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Capital contributions to the CWSRF decreased by $6 million, or 9%, in 2017 when compared to 2016.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The decrease in 2017 was primarily due to a decrease in available contributions from EPA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capitalization grants. In 2016, capital contributions decreased by $41 million, or 38% when compared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2015. The decrease in 2016 was due to a decrease in available contributions from EPA capitalization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grants.</w:t>
      </w:r>
    </w:p>
    <w:p>
      <w:pPr>
        <w:autoSpaceDN w:val="0"/>
        <w:autoSpaceDE w:val="0"/>
        <w:widowControl/>
        <w:spacing w:line="254" w:lineRule="auto" w:before="260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The CWSRF program received principal forgiveness funds from EPA capitalization grants of $4.8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million and $7.8 million, in 2017 and 2016, respectively. The loans made with these funds were forgiven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as disbursed and must be repaid if certain loan conditions are not met.</w:t>
      </w:r>
    </w:p>
    <w:p>
      <w:pPr>
        <w:autoSpaceDN w:val="0"/>
        <w:autoSpaceDE w:val="0"/>
        <w:widowControl/>
        <w:spacing w:line="247" w:lineRule="auto" w:before="540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>VII</w:t>
      </w:r>
    </w:p>
    <w:p>
      <w:pPr>
        <w:sectPr>
          <w:pgSz w:w="12366" w:h="16838"/>
          <w:pgMar w:top="760" w:right="1066" w:bottom="400" w:left="1060" w:header="720" w:footer="720" w:gutter="0"/>
          <w:cols w:space="720" w:num="1" w:equalWidth="0">
            <w:col w:w="10240" w:space="0"/>
            <w:col w:w="10300" w:space="0"/>
            <w:col w:w="10260" w:space="0"/>
            <w:col w:w="10260" w:space="0"/>
            <w:col w:w="10240" w:space="0"/>
            <w:col w:w="10240" w:space="0"/>
            <w:col w:w="102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0"/>
        <w:ind w:left="0" w:right="0"/>
      </w:pPr>
    </w:p>
    <w:p>
      <w:pPr>
        <w:autoSpaceDN w:val="0"/>
        <w:autoSpaceDE w:val="0"/>
        <w:widowControl/>
        <w:spacing w:line="209" w:lineRule="auto" w:before="0" w:after="50"/>
        <w:ind w:left="1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Table 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10"/>
        <w:gridCol w:w="2510"/>
        <w:gridCol w:w="2510"/>
        <w:gridCol w:w="2510"/>
      </w:tblGrid>
      <w:tr>
        <w:trPr>
          <w:trHeight w:hRule="exact" w:val="648"/>
        </w:trPr>
        <w:tc>
          <w:tcPr>
            <w:tcW w:type="dxa" w:w="4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0" w:after="0"/>
              <w:ind w:left="110" w:right="2160" w:hanging="2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Changes in Net Position</w:t>
            </w:r>
            <w:r>
              <w:br/>
            </w: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(in thousands)</w:t>
            </w:r>
          </w:p>
        </w:tc>
        <w:tc>
          <w:tcPr>
            <w:tcW w:type="dxa" w:w="5180"/>
            <w:gridSpan w:val="3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30" w:after="0"/>
              <w:ind w:left="0" w:right="0" w:firstLine="0"/>
              <w:jc w:val="center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Year Ended June 30,</w:t>
            </w:r>
          </w:p>
        </w:tc>
      </w:tr>
      <w:tr>
        <w:trPr>
          <w:trHeight w:hRule="exact" w:val="330"/>
        </w:trPr>
        <w:tc>
          <w:tcPr>
            <w:tcW w:type="dxa" w:w="482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530"/>
            <w:gridSpan w:val="3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</w:tr>
      <w:tr>
        <w:trPr>
          <w:trHeight w:hRule="exact" w:val="308"/>
        </w:trPr>
        <w:tc>
          <w:tcPr>
            <w:tcW w:type="dxa" w:w="2510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0" w:firstLine="0"/>
              <w:jc w:val="center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2017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2016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2015</w:t>
            </w:r>
          </w:p>
        </w:tc>
      </w:tr>
      <w:tr>
        <w:trPr>
          <w:trHeight w:hRule="exact" w:val="330"/>
        </w:trPr>
        <w:tc>
          <w:tcPr>
            <w:tcW w:type="dxa" w:w="4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11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Revenues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7"/>
        </w:trPr>
        <w:tc>
          <w:tcPr>
            <w:tcW w:type="dxa" w:w="4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1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Program revenues: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0"/>
        </w:trPr>
        <w:tc>
          <w:tcPr>
            <w:tcW w:type="dxa" w:w="4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3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Loan interest income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0" w:val="left"/>
              </w:tabs>
              <w:autoSpaceDE w:val="0"/>
              <w:widowControl/>
              <w:spacing w:line="260" w:lineRule="exact" w:before="30" w:after="0"/>
              <w:ind w:left="1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59,615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50" w:val="left"/>
              </w:tabs>
              <w:autoSpaceDE w:val="0"/>
              <w:widowControl/>
              <w:spacing w:line="260" w:lineRule="exact" w:before="30" w:after="0"/>
              <w:ind w:left="1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57,638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90" w:val="left"/>
              </w:tabs>
              <w:autoSpaceDE w:val="0"/>
              <w:widowControl/>
              <w:spacing w:line="260" w:lineRule="exact" w:before="10" w:after="0"/>
              <w:ind w:left="1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55,554</w:t>
            </w:r>
          </w:p>
        </w:tc>
      </w:tr>
      <w:tr>
        <w:trPr>
          <w:trHeight w:hRule="exact" w:val="298"/>
        </w:trPr>
        <w:tc>
          <w:tcPr>
            <w:tcW w:type="dxa" w:w="4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1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General revenues: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4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3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Investment income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2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6,020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1,396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796</w:t>
            </w:r>
          </w:p>
        </w:tc>
      </w:tr>
      <w:tr>
        <w:trPr>
          <w:trHeight w:hRule="exact" w:val="478"/>
        </w:trPr>
        <w:tc>
          <w:tcPr>
            <w:tcW w:type="dxa" w:w="4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59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Total revenues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19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65,635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17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59,034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15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56,350</w:t>
            </w:r>
          </w:p>
        </w:tc>
      </w:tr>
      <w:tr>
        <w:trPr>
          <w:trHeight w:hRule="exact" w:val="446"/>
        </w:trPr>
        <w:tc>
          <w:tcPr>
            <w:tcW w:type="dxa" w:w="4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50" w:after="0"/>
              <w:ind w:left="11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Expenses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8"/>
        </w:trPr>
        <w:tc>
          <w:tcPr>
            <w:tcW w:type="dxa" w:w="4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1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Program expenses: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9"/>
        </w:trPr>
        <w:tc>
          <w:tcPr>
            <w:tcW w:type="dxa" w:w="4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3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Administrative expenses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1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(844)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329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1,096</w:t>
            </w:r>
          </w:p>
        </w:tc>
      </w:tr>
      <w:tr>
        <w:trPr>
          <w:trHeight w:hRule="exact" w:val="298"/>
        </w:trPr>
        <w:tc>
          <w:tcPr>
            <w:tcW w:type="dxa" w:w="4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Capitalization Principal Forgiveness expense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0" w:right="2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4,790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0" w:right="1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7,792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23,629</w:t>
            </w:r>
          </w:p>
        </w:tc>
      </w:tr>
      <w:tr>
        <w:trPr>
          <w:trHeight w:hRule="exact" w:val="308"/>
        </w:trPr>
        <w:tc>
          <w:tcPr>
            <w:tcW w:type="dxa" w:w="4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0" w:after="0"/>
              <w:ind w:left="3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Revenue bond interest expense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2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12,458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2,199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293</w:t>
            </w:r>
          </w:p>
        </w:tc>
      </w:tr>
      <w:tr>
        <w:trPr>
          <w:trHeight w:hRule="exact" w:val="298"/>
        </w:trPr>
        <w:tc>
          <w:tcPr>
            <w:tcW w:type="dxa" w:w="4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3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Revenue bond issuance costs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2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1,896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1,894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90" w:after="0"/>
              <w:ind w:left="0" w:right="3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-</w:t>
            </w:r>
          </w:p>
        </w:tc>
      </w:tr>
      <w:tr>
        <w:trPr>
          <w:trHeight w:hRule="exact" w:val="468"/>
        </w:trPr>
        <w:tc>
          <w:tcPr>
            <w:tcW w:type="dxa" w:w="4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59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Total expenses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21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18,300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7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12,214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0" w:right="1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25,018</w:t>
            </w:r>
          </w:p>
        </w:tc>
      </w:tr>
      <w:tr>
        <w:trPr>
          <w:trHeight w:hRule="exact" w:val="935"/>
        </w:trPr>
        <w:tc>
          <w:tcPr>
            <w:tcW w:type="dxa" w:w="4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130" w:after="0"/>
              <w:ind w:left="310" w:right="1570" w:hanging="200"/>
              <w:jc w:val="both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Increase in net position before</w:t>
            </w:r>
            <w:r>
              <w:br/>
            </w: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contributions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90" w:after="0"/>
              <w:ind w:left="0" w:right="19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47,335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90" w:after="0"/>
              <w:ind w:left="0" w:right="17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46,820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90" w:after="0"/>
              <w:ind w:left="0" w:right="15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31,332</w:t>
            </w:r>
          </w:p>
        </w:tc>
      </w:tr>
      <w:tr>
        <w:trPr>
          <w:trHeight w:hRule="exact" w:val="468"/>
        </w:trPr>
        <w:tc>
          <w:tcPr>
            <w:tcW w:type="dxa" w:w="4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70" w:after="0"/>
              <w:ind w:left="13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Capital contributions: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8"/>
        </w:trPr>
        <w:tc>
          <w:tcPr>
            <w:tcW w:type="dxa" w:w="4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3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EPA capitalization grant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2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60,966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0" w:after="0"/>
              <w:ind w:left="0" w:right="1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66,846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0" w:after="0"/>
              <w:ind w:left="0" w:right="1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100,584</w:t>
            </w:r>
          </w:p>
        </w:tc>
      </w:tr>
      <w:tr>
        <w:trPr>
          <w:trHeight w:hRule="exact" w:val="319"/>
        </w:trPr>
        <w:tc>
          <w:tcPr>
            <w:tcW w:type="dxa" w:w="4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0" w:after="0"/>
              <w:ind w:left="3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EPA capitalization grant Principal Forgiveness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4,790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7,792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23,629</w:t>
            </w:r>
          </w:p>
        </w:tc>
      </w:tr>
      <w:tr>
        <w:trPr>
          <w:trHeight w:hRule="exact" w:val="298"/>
        </w:trPr>
        <w:tc>
          <w:tcPr>
            <w:tcW w:type="dxa" w:w="4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3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State and other contributions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61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68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1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7,162</w:t>
            </w:r>
          </w:p>
        </w:tc>
      </w:tr>
      <w:tr>
        <w:trPr>
          <w:trHeight w:hRule="exact" w:val="446"/>
        </w:trPr>
        <w:tc>
          <w:tcPr>
            <w:tcW w:type="dxa" w:w="4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0" w:after="0"/>
              <w:ind w:left="6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Subtotal capital contributions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0" w:after="0"/>
              <w:ind w:left="0" w:right="2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65,817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7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74,706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131,375</w:t>
            </w:r>
          </w:p>
        </w:tc>
      </w:tr>
      <w:tr>
        <w:trPr>
          <w:trHeight w:hRule="exact" w:val="638"/>
        </w:trPr>
        <w:tc>
          <w:tcPr>
            <w:tcW w:type="dxa" w:w="4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90" w:after="0"/>
              <w:ind w:left="11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Change in net position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90" w:after="0"/>
              <w:ind w:left="0" w:right="19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113,152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70" w:after="0"/>
              <w:ind w:left="0" w:right="17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121,526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70" w:after="0"/>
              <w:ind w:left="0" w:right="15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162,707</w:t>
            </w:r>
          </w:p>
        </w:tc>
      </w:tr>
      <w:tr>
        <w:trPr>
          <w:trHeight w:hRule="exact" w:val="478"/>
        </w:trPr>
        <w:tc>
          <w:tcPr>
            <w:tcW w:type="dxa" w:w="4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70" w:after="0"/>
              <w:ind w:left="13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Net position - beginning of year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150" w:after="0"/>
              <w:ind w:left="0" w:right="21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3,919,857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50" w:after="0"/>
              <w:ind w:left="0" w:right="19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3,798,331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50" w:after="0"/>
              <w:ind w:left="0" w:right="15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3,636,875</w:t>
            </w:r>
          </w:p>
        </w:tc>
      </w:tr>
      <w:tr>
        <w:trPr>
          <w:trHeight w:hRule="exact" w:val="287"/>
        </w:trPr>
        <w:tc>
          <w:tcPr>
            <w:tcW w:type="dxa" w:w="4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31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Net position - Restatement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150" w:after="0"/>
              <w:ind w:left="0" w:right="4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150" w:after="0"/>
              <w:ind w:left="0" w:right="4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9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(1,251)</w:t>
            </w:r>
          </w:p>
        </w:tc>
      </w:tr>
      <w:tr>
        <w:trPr>
          <w:trHeight w:hRule="exact" w:val="478"/>
        </w:trPr>
        <w:tc>
          <w:tcPr>
            <w:tcW w:type="dxa" w:w="4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0" w:after="0"/>
              <w:ind w:left="13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Net position - beginning of year (restated)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0" w:after="0"/>
              <w:ind w:left="0" w:right="1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3,919,857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0" w:after="0"/>
              <w:ind w:left="0" w:right="1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3,798,331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1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3,635,624</w:t>
            </w:r>
          </w:p>
        </w:tc>
      </w:tr>
      <w:tr>
        <w:trPr>
          <w:trHeight w:hRule="exact" w:val="840"/>
        </w:trPr>
        <w:tc>
          <w:tcPr>
            <w:tcW w:type="dxa" w:w="4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170" w:after="0"/>
              <w:ind w:left="11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Net position - end of year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70" w:after="0"/>
              <w:ind w:left="0" w:right="0" w:firstLine="0"/>
              <w:jc w:val="center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$ 4,033,009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0" w:val="left"/>
              </w:tabs>
              <w:autoSpaceDE w:val="0"/>
              <w:widowControl/>
              <w:spacing w:line="280" w:lineRule="exact" w:before="150" w:after="0"/>
              <w:ind w:left="17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3,919,857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0" w:val="left"/>
              </w:tabs>
              <w:autoSpaceDE w:val="0"/>
              <w:widowControl/>
              <w:spacing w:line="280" w:lineRule="exact" w:before="150" w:after="0"/>
              <w:ind w:left="19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3,798,331</w:t>
            </w:r>
          </w:p>
        </w:tc>
      </w:tr>
    </w:tbl>
    <w:p>
      <w:pPr>
        <w:autoSpaceDN w:val="0"/>
        <w:autoSpaceDE w:val="0"/>
        <w:widowControl/>
        <w:spacing w:line="228" w:lineRule="auto" w:before="2670" w:after="0"/>
        <w:ind w:left="0" w:right="4680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2"/>
        </w:rPr>
        <w:t>VIII</w:t>
      </w:r>
    </w:p>
    <w:p>
      <w:pPr>
        <w:sectPr>
          <w:pgSz w:w="12366" w:h="16838"/>
          <w:pgMar w:top="780" w:right="1346" w:bottom="400" w:left="980" w:header="720" w:footer="720" w:gutter="0"/>
          <w:cols w:space="720" w:num="1" w:equalWidth="0">
            <w:col w:w="10040" w:space="0"/>
            <w:col w:w="10240" w:space="0"/>
            <w:col w:w="10300" w:space="0"/>
            <w:col w:w="10260" w:space="0"/>
            <w:col w:w="10260" w:space="0"/>
            <w:col w:w="10240" w:space="0"/>
            <w:col w:w="10240" w:space="0"/>
            <w:col w:w="102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0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Budgetary Information</w:t>
      </w:r>
    </w:p>
    <w:p>
      <w:pPr>
        <w:autoSpaceDN w:val="0"/>
        <w:autoSpaceDE w:val="0"/>
        <w:widowControl/>
        <w:spacing w:line="254" w:lineRule="auto" w:before="260" w:after="0"/>
        <w:ind w:left="4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Under the California constitution, money may only be drawn from the treasury by a legal appropriation.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The State Legislature authorized the CWSRF to operate under a continuous appropriation. Continuous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appropriation authority means that no further appropriations are necessary to expend all funds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deposited into the CWSRF. This has the effect of allowing funds to be expended as soon as they are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deposited into the CWSRF rather than waiting for appropriation authority. Since the funds in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CWSRF can only be used for limited purposes, the continuous appropriation authority allows for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expeditious expenditure of funds and maximizes the benefits to local entities.</w:t>
      </w:r>
    </w:p>
    <w:p>
      <w:pPr>
        <w:autoSpaceDN w:val="0"/>
        <w:autoSpaceDE w:val="0"/>
        <w:widowControl/>
        <w:spacing w:line="247" w:lineRule="auto" w:before="280" w:after="0"/>
        <w:ind w:left="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Debt Administration</w:t>
      </w:r>
    </w:p>
    <w:p>
      <w:pPr>
        <w:autoSpaceDN w:val="0"/>
        <w:autoSpaceDE w:val="0"/>
        <w:widowControl/>
        <w:spacing w:line="252" w:lineRule="auto" w:before="280" w:after="0"/>
        <w:ind w:left="20" w:right="4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The State Water Board administers a leveraged CWSRF program. The State Water Board maintains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high bond ratings from Fitch (AAA), Moody's Investors Service (Aaa), and Standard and Poor's Ratings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Services (AAA) on the CWSRF Series 2017, 2016 and 2012 Revenue Bonds. In 2017, the CWSRF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issued Series 2017 Revenue Bonds for $450 million at a premium of $79.5 million. In 2016,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CWSRF issued Series 2016 Revenue Bonds for $410.7 million at a premium of $91.2 million.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Series 2017 and 2016 Revenue Bonds were issued for the purpose of making financial assistance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available to recipients for eligible projects. In 2012, the CWSRF issued Series 2012 Refunding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Revenue Bonds for $68.9 million at a premium of $6.0 million. The Series 2012 Revenue Bonds were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issued to refund the Series 2002 Revenue Bonds.</w:t>
      </w:r>
    </w:p>
    <w:p>
      <w:pPr>
        <w:autoSpaceDN w:val="0"/>
        <w:autoSpaceDE w:val="0"/>
        <w:widowControl/>
        <w:spacing w:line="254" w:lineRule="auto" w:before="300" w:after="0"/>
        <w:ind w:left="4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As of June 30, 2017, outstanding bonds totaled $1.035 billion, an increase of $504.2 million, compared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to $530.8 million last year as shown in Table 3. The increase in 2017 was due to the issuance of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Series 2017 Revenue Bonds. The increase in 2016 was due to the issuance of the Series 2016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Revenue Bonds. The revenue bonds are backed by a pledge of specific revenue for which the annual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collections are generally predictable.</w:t>
      </w:r>
    </w:p>
    <w:p>
      <w:pPr>
        <w:autoSpaceDN w:val="0"/>
        <w:autoSpaceDE w:val="0"/>
        <w:widowControl/>
        <w:spacing w:line="266" w:lineRule="auto" w:before="260" w:after="0"/>
        <w:ind w:left="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Additional information on the CWSRF long-term debt can be found in Note 5, Long-Term Debt.</w:t>
      </w:r>
    </w:p>
    <w:p>
      <w:pPr>
        <w:autoSpaceDN w:val="0"/>
        <w:autoSpaceDE w:val="0"/>
        <w:widowControl/>
        <w:spacing w:line="228" w:lineRule="auto" w:before="300" w:after="50"/>
        <w:ind w:left="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Table 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70"/>
        <w:gridCol w:w="2570"/>
        <w:gridCol w:w="2570"/>
        <w:gridCol w:w="2570"/>
      </w:tblGrid>
      <w:tr>
        <w:trPr>
          <w:trHeight w:hRule="exact" w:val="648"/>
        </w:trPr>
        <w:tc>
          <w:tcPr>
            <w:tcW w:type="dxa" w:w="9200"/>
            <w:gridSpan w:val="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70" w:right="6048" w:firstLine="2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Outstanding Long-term Debt</w:t>
            </w:r>
            <w:r>
              <w:br/>
            </w: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(in thousands)</w:t>
            </w:r>
          </w:p>
        </w:tc>
      </w:tr>
      <w:tr>
        <w:trPr>
          <w:trHeight w:hRule="exact" w:val="319"/>
        </w:trPr>
        <w:tc>
          <w:tcPr>
            <w:tcW w:type="dxa" w:w="352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680"/>
            <w:gridSpan w:val="3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0" w:right="209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June 30,</w:t>
            </w:r>
          </w:p>
        </w:tc>
      </w:tr>
      <w:tr>
        <w:trPr>
          <w:trHeight w:hRule="exact" w:val="308"/>
        </w:trPr>
        <w:tc>
          <w:tcPr>
            <w:tcW w:type="dxa" w:w="2570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59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2017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0" w:after="0"/>
              <w:ind w:left="0" w:right="0" w:firstLine="0"/>
              <w:jc w:val="center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2016</w:t>
            </w:r>
          </w:p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0" w:after="0"/>
              <w:ind w:left="0" w:right="51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2015</w:t>
            </w:r>
          </w:p>
        </w:tc>
      </w:tr>
      <w:tr>
        <w:trPr>
          <w:trHeight w:hRule="exact" w:val="617"/>
        </w:trPr>
        <w:tc>
          <w:tcPr>
            <w:tcW w:type="dxa" w:w="3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10" w:after="0"/>
              <w:ind w:left="13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Revenue bonds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0"/>
        </w:trPr>
        <w:tc>
          <w:tcPr>
            <w:tcW w:type="dxa" w:w="3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9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Bond principal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70" w:val="left"/>
              </w:tabs>
              <w:autoSpaceDE w:val="0"/>
              <w:widowControl/>
              <w:spacing w:line="240" w:lineRule="exact" w:before="30" w:after="0"/>
              <w:ind w:left="7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877,735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0" w:val="left"/>
              </w:tabs>
              <w:autoSpaceDE w:val="0"/>
              <w:widowControl/>
              <w:spacing w:line="260" w:lineRule="exact" w:before="10" w:after="0"/>
              <w:ind w:left="2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440,675</w:t>
            </w:r>
          </w:p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0" w:val="left"/>
              </w:tabs>
              <w:autoSpaceDE w:val="0"/>
              <w:widowControl/>
              <w:spacing w:line="260" w:lineRule="exact" w:before="10" w:after="0"/>
              <w:ind w:left="1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42,940</w:t>
            </w:r>
          </w:p>
        </w:tc>
      </w:tr>
      <w:tr>
        <w:trPr>
          <w:trHeight w:hRule="exact" w:val="276"/>
        </w:trPr>
        <w:tc>
          <w:tcPr>
            <w:tcW w:type="dxa" w:w="3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Bond premium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157,251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90,118</w:t>
            </w:r>
          </w:p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1,957</w:t>
            </w:r>
          </w:p>
        </w:tc>
      </w:tr>
      <w:tr>
        <w:trPr>
          <w:trHeight w:hRule="exact" w:val="340"/>
        </w:trPr>
        <w:tc>
          <w:tcPr>
            <w:tcW w:type="dxa" w:w="3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37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Total revenue bonds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90" w:val="left"/>
              </w:tabs>
              <w:autoSpaceDE w:val="0"/>
              <w:widowControl/>
              <w:spacing w:line="280" w:lineRule="exact" w:before="10" w:after="0"/>
              <w:ind w:left="71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1,034,986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0" w:val="left"/>
              </w:tabs>
              <w:autoSpaceDE w:val="0"/>
              <w:widowControl/>
              <w:spacing w:line="270" w:lineRule="exact" w:before="0" w:after="0"/>
              <w:ind w:left="21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530,793</w:t>
            </w:r>
          </w:p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0" w:val="left"/>
              </w:tabs>
              <w:autoSpaceDE w:val="0"/>
              <w:widowControl/>
              <w:spacing w:line="260" w:lineRule="exact" w:before="10" w:after="0"/>
              <w:ind w:left="1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44,897</w:t>
            </w:r>
          </w:p>
        </w:tc>
      </w:tr>
    </w:tbl>
    <w:p>
      <w:pPr>
        <w:autoSpaceDN w:val="0"/>
        <w:autoSpaceDE w:val="0"/>
        <w:widowControl/>
        <w:spacing w:line="190" w:lineRule="auto" w:before="301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>IX</w:t>
      </w:r>
    </w:p>
    <w:p>
      <w:pPr>
        <w:sectPr>
          <w:pgSz w:w="12366" w:h="16838"/>
          <w:pgMar w:top="760" w:right="1066" w:bottom="420" w:left="1020" w:header="720" w:footer="720" w:gutter="0"/>
          <w:cols w:space="720" w:num="1" w:equalWidth="0">
            <w:col w:w="10280" w:space="0"/>
            <w:col w:w="10040" w:space="0"/>
            <w:col w:w="10240" w:space="0"/>
            <w:col w:w="10300" w:space="0"/>
            <w:col w:w="10260" w:space="0"/>
            <w:col w:w="10260" w:space="0"/>
            <w:col w:w="10240" w:space="0"/>
            <w:col w:w="10240" w:space="0"/>
            <w:col w:w="102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0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Economic Conditions and Outlook</w:t>
      </w:r>
    </w:p>
    <w:p>
      <w:pPr>
        <w:autoSpaceDN w:val="0"/>
        <w:autoSpaceDE w:val="0"/>
        <w:widowControl/>
        <w:spacing w:line="254" w:lineRule="auto" w:before="280" w:after="0"/>
        <w:ind w:left="2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In 2017, new binding loan commitments (encumbrances) were $1.378 billion, a significant increase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34% above the new commitments made in 2016. The higher level of financing activity reflects continued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improvement in the general economic conditions in California along with recent CWSRF program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improvements to make the program a more attractive choice compared to other financing options for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publicly owned treatment works projects. A steady demand in CWSRF financing activity is anticipated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the near term.</w:t>
      </w:r>
    </w:p>
    <w:p>
      <w:pPr>
        <w:autoSpaceDN w:val="0"/>
        <w:autoSpaceDE w:val="0"/>
        <w:widowControl/>
        <w:spacing w:line="259" w:lineRule="auto" w:before="280" w:after="0"/>
        <w:ind w:left="0" w:right="20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Capitalization grant funds from EPA continue to be an important component of cash flows for financing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activities. For the grant year 2017, the EPA allocated $94.6 million to the CWSRF. The 2017 grant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allocation is a reduction of 1% compared to the 2016 grant allocation of $95 million. Presently available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information indicates that the 2018 grant will be approximately equal to the 2017 grant but could be lower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as a result of ongoing congressional budget negotiations.</w:t>
      </w:r>
    </w:p>
    <w:p>
      <w:pPr>
        <w:autoSpaceDN w:val="0"/>
        <w:autoSpaceDE w:val="0"/>
        <w:widowControl/>
        <w:spacing w:line="257" w:lineRule="auto" w:before="240" w:after="0"/>
        <w:ind w:left="20" w:right="4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Additionally, the CWSRF continues to maintain a large loan portfolio that generates significant program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revenues for financing activity and administrative expenses. CWSRF program staff and its financial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advisors continuously monitor the demand for new loans in order to be prepared to quickly sell a revenue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bond if needed to meet required cash flows.</w:t>
      </w:r>
    </w:p>
    <w:p>
      <w:pPr>
        <w:autoSpaceDN w:val="0"/>
        <w:autoSpaceDE w:val="0"/>
        <w:widowControl/>
        <w:spacing w:line="257" w:lineRule="auto" w:before="280" w:after="0"/>
        <w:ind w:left="40" w:right="0" w:hanging="2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Although improving economic conditions has reduced the number of local entities experiencing strained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revenue flows, the CWSRF diligently works with loan recipients to ensure full repayment of all loans.</w:t>
      </w:r>
    </w:p>
    <w:p>
      <w:pPr>
        <w:autoSpaceDN w:val="0"/>
        <w:autoSpaceDE w:val="0"/>
        <w:widowControl/>
        <w:spacing w:line="228" w:lineRule="auto" w:before="280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Requests for Information</w:t>
      </w:r>
    </w:p>
    <w:p>
      <w:pPr>
        <w:autoSpaceDN w:val="0"/>
        <w:tabs>
          <w:tab w:pos="20" w:val="left"/>
          <w:tab w:pos="40" w:val="left"/>
          <w:tab w:pos="1860" w:val="left"/>
          <w:tab w:pos="3180" w:val="left"/>
          <w:tab w:pos="4100" w:val="left"/>
          <w:tab w:pos="4960" w:val="left"/>
          <w:tab w:pos="5840" w:val="left"/>
          <w:tab w:pos="7520" w:val="left"/>
          <w:tab w:pos="8920" w:val="left"/>
          <w:tab w:pos="9920" w:val="left"/>
        </w:tabs>
        <w:autoSpaceDE w:val="0"/>
        <w:widowControl/>
        <w:spacing w:line="254" w:lineRule="auto" w:before="20" w:after="0"/>
        <w:ind w:left="0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This financial report is designed to provide interested parties with a general overview of the CWSRF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finances. Questions concerning the information provided in this report or requests for additional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information should be addressed to Ms. Heather Bell, Manager, Accounting Branch, Division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Administrative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>Services,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>P.O.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>Box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>100,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>Sacramento,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California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95812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>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Heather.Bell@waterboards.ca.gov.</w:t>
      </w:r>
    </w:p>
    <w:p>
      <w:pPr>
        <w:autoSpaceDN w:val="0"/>
        <w:autoSpaceDE w:val="0"/>
        <w:widowControl/>
        <w:spacing w:line="190" w:lineRule="auto" w:before="6500" w:after="0"/>
        <w:ind w:left="0" w:right="5220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2"/>
        </w:rPr>
        <w:t>X</w:t>
      </w:r>
    </w:p>
    <w:sectPr w:rsidR="00FC693F" w:rsidRPr="0006063C" w:rsidSect="00034616">
      <w:pgSz w:w="12366" w:h="16838"/>
      <w:pgMar w:top="760" w:right="886" w:bottom="410" w:left="1040" w:header="720" w:footer="720" w:gutter="0"/>
      <w:cols w:space="720" w:num="1" w:equalWidth="0">
        <w:col w:w="10440" w:space="0"/>
        <w:col w:w="10280" w:space="0"/>
        <w:col w:w="10040" w:space="0"/>
        <w:col w:w="10240" w:space="0"/>
        <w:col w:w="10300" w:space="0"/>
        <w:col w:w="10260" w:space="0"/>
        <w:col w:w="10260" w:space="0"/>
        <w:col w:w="10240" w:space="0"/>
        <w:col w:w="10240" w:space="0"/>
        <w:col w:w="102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