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 NAME]</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space physics, amorphous carbon foils are a standard tool in particle-detecting space instruments because they release a secondary electron when struck by an incident particle. This secondary electron can be used to make coincidence or time-of-flight (TOF) measurements, which are used by scientists to deduce properties of the incident particle such as mass, species, and energy. However, little is known about how the process of secondary electron emission works and how foil thickness and composition affect the fluence of secondary electrons.</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proposal to develop an ultra-high-vacuum (UHV) compatible scientific instrument that holds a carbon foil in the path of a </w:t>
      </w:r>
      <w:commentRangeStart w:id="0"/>
      <w:r w:rsidDel="00000000" w:rsidR="00000000" w:rsidRPr="00000000">
        <w:rPr>
          <w:rFonts w:ascii="Times New Roman" w:cs="Times New Roman" w:eastAsia="Times New Roman" w:hAnsi="Times New Roman"/>
          <w:sz w:val="24"/>
          <w:szCs w:val="24"/>
          <w:rtl w:val="0"/>
        </w:rPr>
        <w:t xml:space="preserve">particle</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beam and partitions particles passing through the foil based on charge state while measuring the fluence of secondary electrons emitted from the carbon foil as it interacts with the beam. The instrument will be designed based on an existing device built by students in the 2023-2024 AST250/251 class which was used to image carbon foils in the path of an ion beam and quantify the effect of holes and wrinkles (defects) in the foil on its </w:t>
      </w:r>
      <w:commentRangeStart w:id="1"/>
      <w:r w:rsidDel="00000000" w:rsidR="00000000" w:rsidRPr="00000000">
        <w:rPr>
          <w:rFonts w:ascii="Times New Roman" w:cs="Times New Roman" w:eastAsia="Times New Roman" w:hAnsi="Times New Roman"/>
          <w:sz w:val="24"/>
          <w:szCs w:val="24"/>
          <w:rtl w:val="0"/>
        </w:rPr>
        <w:t xml:space="preserve">performance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The new instrument created as part of this research will hold at least three carbon-based foils, concentrically partition charges, and measure secondary electron emission from the foils allowing the instrument operator to </w:t>
      </w:r>
      <w:commentRangeStart w:id="2"/>
      <w:r w:rsidDel="00000000" w:rsidR="00000000" w:rsidRPr="00000000">
        <w:rPr>
          <w:rFonts w:ascii="Times New Roman" w:cs="Times New Roman" w:eastAsia="Times New Roman" w:hAnsi="Times New Roman"/>
          <w:sz w:val="24"/>
          <w:szCs w:val="24"/>
          <w:rtl w:val="0"/>
        </w:rPr>
        <w:t xml:space="preserve">measure</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different types of foils, such as amorphous carbon foils and few-layer-graphene foils (FLGs) while maintaining the same particle beam. The end scientific goal of this research is to create a model that infers the thickness and composition of the measured carbon-based foil based on the fluence of secondary electrons emitted from the foil.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[INSTRUMENT NAME] holds tremendous scientific value. It will mark the first ever study of secondary electron emission as a function of graphene foil thickness and composition and thus will inform the qualification of graphene foils as the next generation of carbon foils in space instruments. 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erases the supposed benefits of a thinner foil. In a laboratory setting, future researchers can use  [INSTRUMENT NAME] to test different graphene foils with varying thicknesses and surface compositions to search for the optimal graphene foil for spaceflight.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previously mentioned, this project will build upon an apparatus first designed by the 2023-2024 AST250/251 class in the Space Physics Lab. The class’s instrument uses three linear actuators to move a pinhole and carbon foil in front of a microchannel plate (MCP) so that when the device is placed inline with a beam of ions in the Space Physics Lab’s vacuum chamber, the MCP creates a 2D spatial map of particle counts. It also has a metal gate that can be energized to high voltage and serve as an electrostatic analyzer (ESA), deflecting particles based on their charge and creating a visual distribution on the MCP of particles based on charge, or filtering out particles to only look at one specific energy.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flaws with the AST250/251 design, primarily the actuation method, which cannot precisely control the position of the pinhole and carbon foils and is prone to getting stuck, making the device unreliable. The entire device is also tilted at a 45 degree angle to facilitate retraction of the linear actuators which are only controllable in the </w:t>
      </w:r>
      <w:r w:rsidDel="00000000" w:rsidR="00000000" w:rsidRPr="00000000">
        <w:rPr>
          <w:rFonts w:ascii="Times New Roman" w:cs="Times New Roman" w:eastAsia="Times New Roman" w:hAnsi="Times New Roman"/>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direction, but even with this change, the retraction of the actuators is still unreliable. [INSTRUMENT NAME] will improve upon the AST250/251 instrument mechanically by implementing a different actuation mechanism, possibly a rotating wheel rather than linear actuators. A new concentric ESA will also be designed to replace the existing metal gate ESA because the metal gate design shapes the paths of ions in a rectangular pattern, resulting in lost data when the particles collide with the MCP which has a circular aperture. Building upon the AST250/251 design, to meet the goals of this research, a channel electron multiplier (CEM) and new ion optics will be added to the design to take secondary electron measurements. CEMs multiply 1 electron to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electrons, essentially creating a cascade of electrons with enough charge to be turned into a detectable signal.</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Solidworks CAD software will be used to mechanically design [INSTRUMENT NAME] and files from Solidworks will be exported to Ansys for analysis and SIMION for ion optics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20 consecutive hours in a beamline without a fault. In Spring 2026, with the instrument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 and the goal is for the model to agree with the IAC measurements within 10%.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project management this research involves a weekly advisor-student meeting to ensure continuous satisfactory progress, attendance at the Space Physics Lab weekly standup at 8AM on the first day of the week, and scheduled time to work in the lab from 1PM-5PM on Thursdays and 8:30AM-5PM on Fridays. </w:t>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iam Li" w:id="2" w:date="2025-09-12T13:53:44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more specific</w:t>
      </w:r>
    </w:p>
  </w:comment>
  <w:comment w:author="William Li" w:id="0" w:date="2025-09-12T12:58:4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say particle beam or ion beam? I intend to put the instrument in both ion and neutral beams</w:t>
      </w:r>
    </w:p>
  </w:comment>
  <w:comment w:author="William Li" w:id="1" w:date="2025-09-12T13:23:19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more specific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Li</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MAE398, Fall 2025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Jamie Rankin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