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and deployed a policy-governed, multi-role decision workspace for complex support cases with Next.js, FastAPI, PostgreSQL/pgvector, LangGraph, Clerk, and OpenAI; grounded Decision Briefs in versioned policy and case evidence while keeping approvals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Verified 54 acceptance controls across 71 baseline variants and 19 traceable proofs across 8 workflow scenarios; passing checks covered stale-approval invalidation, role denial, replay protection, and unknown-outcome reconciliation, while external integrations remain deterministic simulators.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 review and approval workflow with React, FastAPI, Mistral OCR, and OpenAI structured outputs; added deterministic validation, reviewer corrections, audit history, and idempotent export.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Achieved 98.75% exact field match (79/80), 100% validation-code exact match, and 100% approval-blocker match on a sealed 10-invoice synthetic holdout; kept export approval-gated and idempotent through a mock accounting/ERP adapter.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Contributed to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8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2026-08-12T15:10:35Z</dcterms:created>
  <dcterms:modified xsi:type="dcterms:W3CDTF">2026-08-12T15:10:35Z</dcterms:modified>
  <cp:category/>
  <dc:language>en-US</dc:language>
</cp:coreProperties>
</file>