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a policy-governed case-resolution workspace with Next.js, FastAPI, PostgreSQL/pgvector, LangGraph, Clerk, OpenAI, and controlled Gmail draft integration; kept evidence, approvals, and action authority server-controlled.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Reduced median workflow time by 84% (582s to 95s) while completing 3/3 safe workflows versus 0/3 manually in a matched synthetic benchmark; validated PostgreSQL persistence, provider-failure handling, and frontend recovery for controlled-pilot readiness.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an AI-powered invoice-to-ERP workflow with React, FastAPI, Mistral OCR, OpenAI structured outputs, and ERPNext; added deterministic validation, human review, audit history, and approval-gated idempotent draft delivery.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Cut median invoice-to-ERP draft time by 68% (153s to 49s) while achieving the expected result in 10/10 cases versus 9/10 through direct entry; retained 98.75% exact field match and 100% validation and blocker match on a sealed synthetic holdout.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  <w:spacing w:before="30"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18"/>
        </w:tabs>
        <w:ind w:left="518" w:hanging="23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7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22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45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30" w:after="16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4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6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45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9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2026-08-25T16:16:48Z</dcterms:created>
  <dcterms:modified xsi:type="dcterms:W3CDTF">2026-08-25T16:16:48Z</dcterms:modified>
  <cp:category/>
  <dc:language>en-US</dc:language>
</cp:coreProperties>
</file>