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Chrono Circuit v0.8 Answer Modes</w:t>
      </w:r>
    </w:p>
    <w:p>
      <w:pPr>
        <w:pStyle w:val="Subtitle"/>
      </w:pPr>
      <w:r>
        <w:t>Technical specification for tomorrow’s implementation update</w:t>
      </w:r>
    </w:p>
    <w:p>
      <w:r>
        <w:t>Decision: add four adult-controlled answer modes. Guide is the default for existing saves; Independent and Mastery require typed answers. Adult configuration uses a six-digit PIN stored only as a salted Web Crypto verifier.</w:t>
      </w:r>
    </w:p>
    <w:p>
      <w:pPr>
        <w:pStyle w:val="Heading1"/>
      </w:pPr>
      <w:r>
        <w:t>1. Goals and security boundary</w:t>
      </w:r>
    </w:p>
    <w:p>
      <w:r>
        <w:t>Make mathematical demand visible, preserve action pacing, support parent/teacher choice, and require fresh math on every new run. This protects normal UI access and casual guessing. A local browser app cannot stop deliberate developer-tools or storage edits; that limit is explicit.</w:t>
      </w:r>
    </w:p>
    <w:p>
      <w:pPr>
        <w:pStyle w:val="Heading1"/>
      </w:pPr>
      <w:r>
        <w:t>2. Answer-mode contract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Mode</w:t>
            </w:r>
          </w:p>
        </w:tc>
        <w:tc>
          <w:tcPr>
            <w:tcW w:type="dxa" w:w="2484"/>
          </w:tcPr>
          <w:p>
            <w:r>
              <w:t>Experience</w:t>
            </w:r>
          </w:p>
        </w:tc>
        <w:tc>
          <w:tcPr>
            <w:tcW w:type="dxa" w:w="2484"/>
          </w:tcPr>
          <w:p>
            <w:r>
              <w:t>Support</w:t>
            </w:r>
          </w:p>
        </w:tc>
        <w:tc>
          <w:tcPr>
            <w:tcW w:type="dxa" w:w="2484"/>
          </w:tcPr>
          <w:p>
            <w:r>
              <w:t>Progression</w:t>
            </w:r>
          </w:p>
        </w:tc>
      </w:tr>
      <w:tr>
        <w:tc>
          <w:tcPr>
            <w:tcW w:type="dxa" w:w="2484"/>
          </w:tcPr>
          <w:p>
            <w:r>
              <w:t>Teach</w:t>
            </w:r>
          </w:p>
        </w:tc>
        <w:tc>
          <w:tcPr>
            <w:tcW w:type="dxa" w:w="2484"/>
          </w:tcPr>
          <w:p>
            <w:r>
              <w:t>Worked examples, narrated landmark jumps, full clock and choices.</w:t>
            </w:r>
          </w:p>
        </w:tc>
        <w:tc>
          <w:tcPr>
            <w:tcW w:type="dxa" w:w="2484"/>
          </w:tcPr>
          <w:p>
            <w:r>
              <w:t>All scaffolds.</w:t>
            </w:r>
          </w:p>
        </w:tc>
        <w:tc>
          <w:tcPr>
            <w:tcW w:type="dxa" w:w="2484"/>
          </w:tcPr>
          <w:p>
            <w:r>
              <w:t>Supported correctness.</w:t>
            </w:r>
          </w:p>
        </w:tc>
      </w:tr>
      <w:tr>
        <w:tc>
          <w:tcPr>
            <w:tcW w:type="dxa" w:w="2484"/>
          </w:tcPr>
          <w:p>
            <w:r>
              <w:t>Guide</w:t>
            </w:r>
          </w:p>
        </w:tc>
        <w:tc>
          <w:tcPr>
            <w:tcW w:type="dxa" w:w="2484"/>
          </w:tcPr>
          <w:p>
            <w:r>
              <w:t>Prompt first, then limited clock/timeline aid; typed entry preferred.</w:t>
            </w:r>
          </w:p>
        </w:tc>
        <w:tc>
          <w:tcPr>
            <w:tcW w:type="dxa" w:w="2484"/>
          </w:tcPr>
          <w:p>
            <w:r>
              <w:t>One hint after error; no highlighted answer.</w:t>
            </w:r>
          </w:p>
        </w:tc>
        <w:tc>
          <w:tcPr>
            <w:tcW w:type="dxa" w:w="2484"/>
          </w:tcPr>
          <w:p>
            <w:r>
              <w:t>Tracks supported vs unsupported.</w:t>
            </w:r>
          </w:p>
        </w:tc>
      </w:tr>
      <w:tr>
        <w:tc>
          <w:tcPr>
            <w:tcW w:type="dxa" w:w="2484"/>
          </w:tcPr>
          <w:p>
            <w:r>
              <w:t>Independent</w:t>
            </w:r>
          </w:p>
        </w:tc>
        <w:tc>
          <w:tcPr>
            <w:tcW w:type="dxa" w:w="2484"/>
          </w:tcPr>
          <w:p>
            <w:r>
              <w:t>Types time, duration, or conversion.</w:t>
            </w:r>
          </w:p>
        </w:tc>
        <w:tc>
          <w:tcPr>
            <w:tcW w:type="dxa" w:w="2484"/>
          </w:tcPr>
          <w:p>
            <w:r>
              <w:t>No +/- controls, computational choices, target highlighting, or auto-fill.</w:t>
            </w:r>
          </w:p>
        </w:tc>
        <w:tc>
          <w:tcPr>
            <w:tcW w:type="dxa" w:w="2484"/>
          </w:tcPr>
          <w:p>
            <w:r>
              <w:t>Correct response required.</w:t>
            </w:r>
          </w:p>
        </w:tc>
      </w:tr>
      <w:tr>
        <w:tc>
          <w:tcPr>
            <w:tcW w:type="dxa" w:w="2484"/>
          </w:tcPr>
          <w:p>
            <w:r>
              <w:t>Mastery</w:t>
            </w:r>
          </w:p>
        </w:tc>
        <w:tc>
          <w:tcPr>
            <w:tcW w:type="dxa" w:w="2484"/>
          </w:tcPr>
          <w:p>
            <w:r>
              <w:t>Independent response plus new-context transfer.</w:t>
            </w:r>
          </w:p>
        </w:tc>
        <w:tc>
          <w:tcPr>
            <w:tcW w:type="dxa" w:w="2484"/>
          </w:tcPr>
          <w:p>
            <w:r>
              <w:t>Same restrictions; delayed feedback and bounded retries.</w:t>
            </w:r>
          </w:p>
        </w:tc>
        <w:tc>
          <w:tcPr>
            <w:tcW w:type="dxa" w:w="2484"/>
          </w:tcPr>
          <w:p>
            <w:r>
              <w:t>Two consecutive correct items including transfer per strand.</w:t>
            </w:r>
          </w:p>
        </w:tc>
      </w:tr>
    </w:tbl>
    <w:p/>
    <w:p>
      <w:r>
        <w:t>Route-choice items may remain visual selections only when path selection is the learning target, never as disguised time answers.</w:t>
      </w:r>
    </w:p>
    <w:p>
      <w:pPr>
        <w:pStyle w:val="Heading1"/>
      </w:pPr>
      <w:r>
        <w:t>3. Coverage map</w:t>
      </w:r>
    </w:p>
    <w:tbl>
      <w:tblPr>
        <w:tblStyle w:val="TableGrid"/>
        <w:tblW w:type="auto" w:w="0"/>
        <w:tblLook w:firstColumn="1" w:firstRow="1" w:lastColumn="0" w:lastRow="0" w:noHBand="0" w:noVBand="1" w:val="04A0"/>
      </w:tblPr>
      <w:tblGrid>
        <w:gridCol w:w="3312"/>
        <w:gridCol w:w="3312"/>
        <w:gridCol w:w="3312"/>
      </w:tblGrid>
      <w:tr>
        <w:tc>
          <w:tcPr>
            <w:tcW w:type="dxa" w:w="3312"/>
          </w:tcPr>
          <w:p>
            <w:r>
              <w:t>Stage</w:t>
            </w:r>
          </w:p>
        </w:tc>
        <w:tc>
          <w:tcPr>
            <w:tcW w:type="dxa" w:w="3312"/>
          </w:tcPr>
          <w:p>
            <w:r>
              <w:t>Strands</w:t>
            </w:r>
          </w:p>
        </w:tc>
        <w:tc>
          <w:tcPr>
            <w:tcW w:type="dxa" w:w="3312"/>
          </w:tcPr>
          <w:p>
            <w:r>
              <w:t>Typed example</w:t>
            </w:r>
          </w:p>
        </w:tc>
      </w:tr>
      <w:tr>
        <w:tc>
          <w:tcPr>
            <w:tcW w:type="dxa" w:w="3312"/>
          </w:tcPr>
          <w:p>
            <w:r>
              <w:t>Furnace Run</w:t>
            </w:r>
          </w:p>
        </w:tc>
        <w:tc>
          <w:tcPr>
            <w:tcW w:type="dxa" w:w="3312"/>
          </w:tcPr>
          <w:p>
            <w:r>
              <w:t>Forward elapsed; noon</w:t>
            </w:r>
          </w:p>
        </w:tc>
        <w:tc>
          <w:tcPr>
            <w:tcW w:type="dxa" w:w="3312"/>
          </w:tcPr>
          <w:p>
            <w:r>
              <w:t>10:45 + 3 h 30 min → type 2:15 PM</w:t>
            </w:r>
          </w:p>
        </w:tc>
      </w:tr>
      <w:tr>
        <w:tc>
          <w:tcPr>
            <w:tcW w:type="dxa" w:w="3312"/>
          </w:tcPr>
          <w:p>
            <w:r>
              <w:t>Midnight Metro</w:t>
            </w:r>
          </w:p>
        </w:tc>
        <w:tc>
          <w:tcPr>
            <w:tcW w:type="dxa" w:w="3312"/>
          </w:tcPr>
          <w:p>
            <w:r>
              <w:t>Backward; missing departure; midnight</w:t>
            </w:r>
          </w:p>
        </w:tc>
        <w:tc>
          <w:tcPr>
            <w:tcW w:type="dxa" w:w="3312"/>
          </w:tcPr>
          <w:p>
            <w:r>
              <w:t>12:20 AM minus 1 h 45 min → type 10:35 PM</w:t>
            </w:r>
          </w:p>
        </w:tc>
      </w:tr>
      <w:tr>
        <w:tc>
          <w:tcPr>
            <w:tcW w:type="dxa" w:w="3312"/>
          </w:tcPr>
          <w:p>
            <w:r>
              <w:t>Bell Tower</w:t>
            </w:r>
          </w:p>
        </w:tc>
        <w:tc>
          <w:tcPr>
            <w:tcW w:type="dxa" w:w="3312"/>
          </w:tcPr>
          <w:p>
            <w:r>
              <w:t>Quarter past/to; half past; language</w:t>
            </w:r>
          </w:p>
        </w:tc>
        <w:tc>
          <w:tcPr>
            <w:tcW w:type="dxa" w:w="3312"/>
          </w:tcPr>
          <w:p>
            <w:r>
              <w:t>“Quarter to six” → type 5:45</w:t>
            </w:r>
          </w:p>
        </w:tc>
      </w:tr>
      <w:tr>
        <w:tc>
          <w:tcPr>
            <w:tcW w:type="dxa" w:w="3312"/>
          </w:tcPr>
          <w:p>
            <w:r>
              <w:t>Sky Dial</w:t>
            </w:r>
          </w:p>
        </w:tc>
        <w:tc>
          <w:tcPr>
            <w:tcW w:type="dxa" w:w="3312"/>
          </w:tcPr>
          <w:p>
            <w:r>
              <w:t>AM/PM and 24-hour; overnight</w:t>
            </w:r>
          </w:p>
        </w:tc>
        <w:tc>
          <w:tcPr>
            <w:tcW w:type="dxa" w:w="3312"/>
          </w:tcPr>
          <w:p>
            <w:r>
              <w:t>7:35 PM → type 19:35</w:t>
            </w:r>
          </w:p>
        </w:tc>
      </w:tr>
      <w:tr>
        <w:tc>
          <w:tcPr>
            <w:tcW w:type="dxa" w:w="3312"/>
          </w:tcPr>
          <w:p>
            <w:r>
              <w:t>Tidal Relay</w:t>
            </w:r>
          </w:p>
        </w:tc>
        <w:tc>
          <w:tcPr>
            <w:tcW w:type="dxa" w:w="3312"/>
          </w:tcPr>
          <w:p>
            <w:r>
              <w:t>Schedules, waits, transfers</w:t>
            </w:r>
          </w:p>
        </w:tc>
        <w:tc>
          <w:tcPr>
            <w:tcW w:type="dxa" w:w="3312"/>
          </w:tcPr>
          <w:p>
            <w:r>
              <w:t>Type departure, arrival, wait</w:t>
            </w:r>
          </w:p>
        </w:tc>
      </w:tr>
      <w:tr>
        <w:tc>
          <w:tcPr>
            <w:tcW w:type="dxa" w:w="3312"/>
          </w:tcPr>
          <w:p>
            <w:r>
              <w:t>Verdant Clockworks</w:t>
            </w:r>
          </w:p>
        </w:tc>
        <w:tc>
          <w:tcPr>
            <w:tcW w:type="dxa" w:w="3312"/>
          </w:tcPr>
          <w:p>
            <w:r>
              <w:t>Multi-step journeys, budgets</w:t>
            </w:r>
          </w:p>
        </w:tc>
        <w:tc>
          <w:tcPr>
            <w:tcW w:type="dxa" w:w="3312"/>
          </w:tcPr>
          <w:p>
            <w:r>
              <w:t>Type remaining time</w:t>
            </w:r>
          </w:p>
        </w:tc>
      </w:tr>
      <w:tr>
        <w:tc>
          <w:tcPr>
            <w:tcW w:type="dxa" w:w="3312"/>
          </w:tcPr>
          <w:p>
            <w:r>
              <w:t>Prism Archive</w:t>
            </w:r>
          </w:p>
        </w:tc>
        <w:tc>
          <w:tcPr>
            <w:tcW w:type="dxa" w:w="3312"/>
          </w:tcPr>
          <w:p>
            <w:r>
              <w:t>Compare durations, differences</w:t>
            </w:r>
          </w:p>
        </w:tc>
        <w:tc>
          <w:tcPr>
            <w:tcW w:type="dxa" w:w="3312"/>
          </w:tcPr>
          <w:p>
            <w:r>
              <w:t>Type earlier event and difference</w:t>
            </w:r>
          </w:p>
        </w:tc>
      </w:tr>
      <w:tr>
        <w:tc>
          <w:tcPr>
            <w:tcW w:type="dxa" w:w="3312"/>
          </w:tcPr>
          <w:p>
            <w:r>
              <w:t>Skyfair Circuit</w:t>
            </w:r>
          </w:p>
        </w:tc>
        <w:tc>
          <w:tcPr>
            <w:tcW w:type="dxa" w:w="3312"/>
          </w:tcPr>
          <w:p>
            <w:r>
              <w:t>Minutes/seconds, repeated intervals</w:t>
            </w:r>
          </w:p>
        </w:tc>
        <w:tc>
          <w:tcPr>
            <w:tcW w:type="dxa" w:w="3312"/>
          </w:tcPr>
          <w:p>
            <w:r>
              <w:t>Type lap time or total</w:t>
            </w:r>
          </w:p>
        </w:tc>
      </w:tr>
    </w:tbl>
    <w:p/>
    <w:p>
      <w:pPr>
        <w:pStyle w:val="Heading1"/>
      </w:pPr>
      <w:r>
        <w:t>4. Adult settings and lock</w:t>
      </w:r>
    </w:p>
    <w:p>
      <w:r>
        <w:t>Path: Settings → Adult Settings → six-digit PIN. Visible lock icon; obscurity is not the control. Adult chooses global mode, optional per-stage overrides, questions per gate (1–10, default 2), and Guide narration.</w:t>
      </w:r>
    </w:p>
    <w:tbl>
      <w:tblPr>
        <w:tblStyle w:val="TableGrid"/>
        <w:tblW w:type="auto" w:w="0"/>
        <w:tblLook w:firstColumn="1" w:firstRow="1" w:lastColumn="0" w:lastRow="0" w:noHBand="0" w:noVBand="1" w:val="04A0"/>
      </w:tblPr>
      <w:tblGrid>
        <w:gridCol w:w="4968"/>
        <w:gridCol w:w="4968"/>
      </w:tblGrid>
      <w:tr>
        <w:tc>
          <w:tcPr>
            <w:tcW w:type="dxa" w:w="4968"/>
          </w:tcPr>
          <w:p>
            <w:r>
              <w:t>Control</w:t>
            </w:r>
          </w:p>
        </w:tc>
        <w:tc>
          <w:tcPr>
            <w:tcW w:type="dxa" w:w="4968"/>
          </w:tcPr>
          <w:p>
            <w:r>
              <w:t>Specification</w:t>
            </w:r>
          </w:p>
        </w:tc>
      </w:tr>
      <w:tr>
        <w:tc>
          <w:tcPr>
            <w:tcW w:type="dxa" w:w="4968"/>
          </w:tcPr>
          <w:p>
            <w:r>
              <w:t>PIN</w:t>
            </w:r>
          </w:p>
        </w:tc>
        <w:tc>
          <w:tcPr>
            <w:tcW w:type="dxa" w:w="4968"/>
          </w:tcPr>
          <w:p>
            <w:r>
              <w:t>New six-digit PIN; reject 000000, repeats, obvious sequences. Never store plaintext.</w:t>
            </w:r>
          </w:p>
        </w:tc>
      </w:tr>
      <w:tr>
        <w:tc>
          <w:tcPr>
            <w:tcW w:type="dxa" w:w="4968"/>
          </w:tcPr>
          <w:p>
            <w:r>
              <w:t>Storage</w:t>
            </w:r>
          </w:p>
        </w:tc>
        <w:tc>
          <w:tcPr>
            <w:tcW w:type="dxa" w:w="4968"/>
          </w:tcPr>
          <w:p>
            <w:r>
              <w:t>Random salt; Web Crypto PBKDF2-SHA-256, 150,000 iterations; store salt, verifier, iterations, version only.</w:t>
            </w:r>
          </w:p>
        </w:tc>
      </w:tr>
      <w:tr>
        <w:tc>
          <w:tcPr>
            <w:tcW w:type="dxa" w:w="4968"/>
          </w:tcPr>
          <w:p>
            <w:r>
              <w:t>Session</w:t>
            </w:r>
          </w:p>
        </w:tc>
        <w:tc>
          <w:tcPr>
            <w:tcW w:type="dxa" w:w="4968"/>
          </w:tcPr>
          <w:p>
            <w:r>
              <w:t>In-memory unlock for 5 minutes or leaving Adult Settings; re-lock on reload, rotation, title.</w:t>
            </w:r>
          </w:p>
        </w:tc>
      </w:tr>
      <w:tr>
        <w:tc>
          <w:tcPr>
            <w:tcW w:type="dxa" w:w="4968"/>
          </w:tcPr>
          <w:p>
            <w:r>
              <w:t>Failures</w:t>
            </w:r>
          </w:p>
        </w:tc>
        <w:tc>
          <w:tcPr>
            <w:tcW w:type="dxa" w:w="4968"/>
          </w:tcPr>
          <w:p>
            <w:r>
              <w:t>Three wrong attempts trigger 30-second cooldown; generic error.</w:t>
            </w:r>
          </w:p>
        </w:tc>
      </w:tr>
      <w:tr>
        <w:tc>
          <w:tcPr>
            <w:tcW w:type="dxa" w:w="4968"/>
          </w:tcPr>
          <w:p>
            <w:r>
              <w:t>Recovery</w:t>
            </w:r>
          </w:p>
        </w:tc>
        <w:tc>
          <w:tcPr>
            <w:tcW w:type="dxa" w:w="4968"/>
          </w:tcPr>
          <w:p>
            <w:r>
              <w:t>Reset flow states it clears adult settings and learning data; long-press plus second confirmation.</w:t>
            </w:r>
          </w:p>
        </w:tc>
      </w:tr>
      <w:tr>
        <w:tc>
          <w:tcPr>
            <w:tcW w:type="dxa" w:w="4968"/>
          </w:tcPr>
          <w:p>
            <w:r>
              <w:t>Threat model</w:t>
            </w:r>
          </w:p>
        </w:tc>
        <w:tc>
          <w:tcPr>
            <w:tcW w:type="dxa" w:w="4968"/>
          </w:tcPr>
          <w:p>
            <w:r>
              <w:t>Protects normal UI access, not local storage/source tampering.</w:t>
            </w:r>
          </w:p>
        </w:tc>
      </w:tr>
    </w:tbl>
    <w:p/>
    <w:p>
      <w:pPr>
        <w:pStyle w:val="Heading1"/>
      </w:pPr>
      <w:r>
        <w:t>5. State and run rules</w:t>
      </w:r>
    </w:p>
    <w:p>
      <w:r>
        <w:t>Store adultConfig separately from player preferences. Resolve global mode plus stage override at fresh-run creation into run.answerMode. Mode changes apply only to the next fresh run; checkpoint retries retain solved gates. Migrate v0.7 saves with mode=guide and preserve progress.</w:t>
      </w:r>
    </w:p>
    <w:p>
      <w:r>
        <w:t>Schema: adultConfig {version, mode, perStage, questionsPerGate, pinVerifier, pinSalt, iterations}; playerSettings {audio, narration, controls}; run {stageId, answerMode, gateIndex, solvedGateIds}; learning {strandStats, supportedCorrect, independentCorrect, masteryEvidence}.</w:t>
      </w:r>
    </w:p>
    <w:p>
      <w:pPr>
        <w:pStyle w:val="Heading1"/>
      </w:pPr>
      <w:r>
        <w:t>6. UI and validation matrix</w:t>
      </w:r>
    </w:p>
    <w:tbl>
      <w:tblPr>
        <w:tblStyle w:val="TableGrid"/>
        <w:tblW w:type="auto" w:w="0"/>
        <w:tblLook w:firstColumn="1" w:firstRow="1" w:lastColumn="0" w:lastRow="0" w:noHBand="0" w:noVBand="1" w:val="04A0"/>
      </w:tblPr>
      <w:tblGrid>
        <w:gridCol w:w="3312"/>
        <w:gridCol w:w="3312"/>
        <w:gridCol w:w="3312"/>
      </w:tblGrid>
      <w:tr>
        <w:tc>
          <w:tcPr>
            <w:tcW w:type="dxa" w:w="3312"/>
          </w:tcPr>
          <w:p>
            <w:r>
              <w:t>Surface</w:t>
            </w:r>
          </w:p>
        </w:tc>
        <w:tc>
          <w:tcPr>
            <w:tcW w:type="dxa" w:w="3312"/>
          </w:tcPr>
          <w:p>
            <w:r>
              <w:t>Teach / Guide</w:t>
            </w:r>
          </w:p>
        </w:tc>
        <w:tc>
          <w:tcPr>
            <w:tcW w:type="dxa" w:w="3312"/>
          </w:tcPr>
          <w:p>
            <w:r>
              <w:t>Independent / Mastery</w:t>
            </w:r>
          </w:p>
        </w:tc>
      </w:tr>
      <w:tr>
        <w:tc>
          <w:tcPr>
            <w:tcW w:type="dxa" w:w="3312"/>
          </w:tcPr>
          <w:p>
            <w:r>
              <w:t>Clock</w:t>
            </w:r>
          </w:p>
        </w:tc>
        <w:tc>
          <w:tcPr>
            <w:tcW w:type="dxa" w:w="3312"/>
          </w:tcPr>
          <w:p>
            <w:r>
              <w:t>Clock and optional adjustment</w:t>
            </w:r>
          </w:p>
        </w:tc>
        <w:tc>
          <w:tcPr>
            <w:tcW w:type="dxa" w:w="3312"/>
          </w:tcPr>
          <w:p>
            <w:r>
              <w:t>Numeric fields; no adjustment</w:t>
            </w:r>
          </w:p>
        </w:tc>
      </w:tr>
      <w:tr>
        <w:tc>
          <w:tcPr>
            <w:tcW w:type="dxa" w:w="3312"/>
          </w:tcPr>
          <w:p>
            <w:r>
              <w:t>Choices</w:t>
            </w:r>
          </w:p>
        </w:tc>
        <w:tc>
          <w:tcPr>
            <w:tcW w:type="dxa" w:w="3312"/>
          </w:tcPr>
          <w:p>
            <w:r>
              <w:t>Scaffolding and route decisions</w:t>
            </w:r>
          </w:p>
        </w:tc>
        <w:tc>
          <w:tcPr>
            <w:tcW w:type="dxa" w:w="3312"/>
          </w:tcPr>
          <w:p>
            <w:r>
              <w:t>No computational choices</w:t>
            </w:r>
          </w:p>
        </w:tc>
      </w:tr>
      <w:tr>
        <w:tc>
          <w:tcPr>
            <w:tcW w:type="dxa" w:w="3312"/>
          </w:tcPr>
          <w:p>
            <w:r>
              <w:t>Feedback</w:t>
            </w:r>
          </w:p>
        </w:tc>
        <w:tc>
          <w:tcPr>
            <w:tcW w:type="dxa" w:w="3312"/>
          </w:tcPr>
          <w:p>
            <w:r>
              <w:t>Immediate correction and hint</w:t>
            </w:r>
          </w:p>
        </w:tc>
        <w:tc>
          <w:tcPr>
            <w:tcW w:type="dxa" w:w="3312"/>
          </w:tcPr>
          <w:p>
            <w:r>
              <w:t>After submit; explanation, no auto-fill</w:t>
            </w:r>
          </w:p>
        </w:tc>
      </w:tr>
      <w:tr>
        <w:tc>
          <w:tcPr>
            <w:tcW w:type="dxa" w:w="3312"/>
          </w:tcPr>
          <w:p>
            <w:r>
              <w:t>Input</w:t>
            </w:r>
          </w:p>
        </w:tc>
        <w:tc>
          <w:tcPr>
            <w:tcW w:type="dxa" w:w="3312"/>
          </w:tcPr>
          <w:p>
            <w:r>
              <w:t>Permitted common forms</w:t>
            </w:r>
          </w:p>
        </w:tc>
        <w:tc>
          <w:tcPr>
            <w:tcW w:type="dxa" w:w="3312"/>
          </w:tcPr>
          <w:p>
            <w:r>
              <w:t>Normalize; reject invalid/ambiguous values</w:t>
            </w:r>
          </w:p>
        </w:tc>
      </w:tr>
      <w:tr>
        <w:tc>
          <w:tcPr>
            <w:tcW w:type="dxa" w:w="3312"/>
          </w:tcPr>
          <w:p>
            <w:r>
              <w:t>Accessibility</w:t>
            </w:r>
          </w:p>
        </w:tc>
        <w:tc>
          <w:tcPr>
            <w:tcW w:type="dxa" w:w="3312"/>
          </w:tcPr>
          <w:p>
            <w:r>
              <w:t>Narration, large targets, icon + colour</w:t>
            </w:r>
          </w:p>
        </w:tc>
        <w:tc>
          <w:tcPr>
            <w:tcW w:type="dxa" w:w="3312"/>
          </w:tcPr>
          <w:p>
            <w:r>
              <w:t>Same accessible labels</w:t>
            </w:r>
          </w:p>
        </w:tc>
      </w:tr>
    </w:tbl>
    <w:p/>
    <w:p>
      <w:pPr>
        <w:pStyle w:val="Heading1"/>
      </w:pPr>
      <w:r>
        <w:t>7. Implementation modules</w:t>
      </w:r>
    </w:p>
    <w:p>
      <w:r>
        <w:t>answer-mode.js (policy); adult-lock.js (PIN, cooldown, timeout); answer-entry.js (parsers); gate-ui.js (policy rendering); progress.js (migration/snapshots); report.js (supported, independent, mastery evidence).</w:t>
      </w:r>
    </w:p>
    <w:p>
      <w:pPr>
        <w:pStyle w:val="Heading1"/>
      </w:pPr>
      <w:r>
        <w:t>8. Acceptance gates</w:t>
      </w:r>
    </w:p>
    <w:p>
      <w:pPr>
        <w:pStyle w:val="ListBullet"/>
      </w:pPr>
      <w:r>
        <w:t>Normal menus cannot change mode or question count without PIN.</w:t>
      </w:r>
    </w:p>
    <w:p>
      <w:pPr>
        <w:pStyle w:val="ListBullet"/>
      </w:pPr>
      <w:r>
        <w:t>No plaintext PIN in storage, exports, URLs, logs, or DOM attributes.</w:t>
      </w:r>
    </w:p>
    <w:p>
      <w:pPr>
        <w:pStyle w:val="ListBullet"/>
      </w:pPr>
      <w:r>
        <w:t>Every stage has typed computational items in Independent and Mastery.</w:t>
      </w:r>
    </w:p>
    <w:p>
      <w:pPr>
        <w:pStyle w:val="ListBullet"/>
      </w:pPr>
      <w:r>
        <w:t>Independent/Mastery never render +/- controls or computational multiple choice.</w:t>
      </w:r>
    </w:p>
    <w:p>
      <w:pPr>
        <w:pStyle w:val="ListBullet"/>
      </w:pPr>
      <w:r>
        <w:t>Fresh replay reopens gates; checkpoint retry remains unchanged.</w:t>
      </w:r>
    </w:p>
    <w:p>
      <w:pPr>
        <w:pStyle w:val="ListBullet"/>
      </w:pPr>
      <w:r>
        <w:t>Mode changes apply only to new runs and appear in parent report.</w:t>
      </w:r>
    </w:p>
    <w:p>
      <w:pPr>
        <w:pStyle w:val="ListBullet"/>
      </w:pPr>
      <w:r>
        <w:t>All stages pass parser, policy, migration, and iPad layout tests.</w:t>
      </w:r>
    </w:p>
    <w:p>
      <w:pPr>
        <w:pStyle w:val="ListBullet"/>
      </w:pPr>
      <w:r>
        <w:t>Safari test covers touch focus, numeric keypad, rotation, timeout.</w:t>
      </w:r>
    </w:p>
    <w:p>
      <w:pPr>
        <w:pStyle w:val="Heading1"/>
      </w:pPr>
      <w:r>
        <w:t>9. Tomorrow’s build order</w:t>
      </w:r>
    </w:p>
    <w:p>
      <w:pPr>
        <w:pStyle w:val="ListNumber"/>
      </w:pPr>
      <w:r>
        <w:t>Implement policy and schema migration with unit tests.</w:t>
      </w:r>
    </w:p>
    <w:p>
      <w:pPr>
        <w:pStyle w:val="ListNumber"/>
      </w:pPr>
      <w:r>
        <w:t>Build Adult Settings and lock; verify timeout/cooldown.</w:t>
      </w:r>
    </w:p>
    <w:p>
      <w:pPr>
        <w:pStyle w:val="ListNumber"/>
      </w:pPr>
      <w:r>
        <w:t>Replace gate renderer with policy-driven typed fields.</w:t>
      </w:r>
    </w:p>
    <w:p>
      <w:pPr>
        <w:pStyle w:val="ListNumber"/>
      </w:pPr>
      <w:r>
        <w:t>Add stage metadata and transfer variants; preserve question count.</w:t>
      </w:r>
    </w:p>
    <w:p>
      <w:pPr>
        <w:pStyle w:val="ListNumber"/>
      </w:pPr>
      <w:r>
        <w:t>Regression-test routes, bosses, replay math, saves, mobile layout.</w:t>
      </w:r>
    </w:p>
    <w:p>
      <w:pPr>
        <w:pStyle w:val="ListNumber"/>
      </w:pPr>
      <w:r>
        <w:t>Commit code and specification to GitHub; deploy v0.8 from repository after gates pass.</w:t>
      </w:r>
    </w:p>
    <w:p>
      <w:pPr>
        <w:pStyle w:val="Heading1"/>
      </w:pPr>
      <w:r>
        <w:t>10. Decisions</w:t>
      </w:r>
    </w:p>
    <w:tbl>
      <w:tblPr>
        <w:tblStyle w:val="TableGrid"/>
        <w:tblW w:type="auto" w:w="0"/>
        <w:tblLook w:firstColumn="1" w:firstRow="1" w:lastColumn="0" w:lastRow="0" w:noHBand="0" w:noVBand="1" w:val="04A0"/>
      </w:tblPr>
      <w:tblGrid>
        <w:gridCol w:w="4968"/>
        <w:gridCol w:w="4968"/>
      </w:tblGrid>
      <w:tr>
        <w:tc>
          <w:tcPr>
            <w:tcW w:type="dxa" w:w="4968"/>
          </w:tcPr>
          <w:p>
            <w:r>
              <w:t>Decision</w:t>
            </w:r>
          </w:p>
        </w:tc>
        <w:tc>
          <w:tcPr>
            <w:tcW w:type="dxa" w:w="4968"/>
          </w:tcPr>
          <w:p>
            <w:r>
              <w:t>Recommendation</w:t>
            </w:r>
          </w:p>
        </w:tc>
      </w:tr>
      <w:tr>
        <w:tc>
          <w:tcPr>
            <w:tcW w:type="dxa" w:w="4968"/>
          </w:tcPr>
          <w:p>
            <w:r>
              <w:t>Existing-save default</w:t>
            </w:r>
          </w:p>
        </w:tc>
        <w:tc>
          <w:tcPr>
            <w:tcW w:type="dxa" w:w="4968"/>
          </w:tcPr>
          <w:p>
            <w:r>
              <w:t>Guide; Independent is easy to select.</w:t>
            </w:r>
          </w:p>
        </w:tc>
      </w:tr>
      <w:tr>
        <w:tc>
          <w:tcPr>
            <w:tcW w:type="dxa" w:w="4968"/>
          </w:tcPr>
          <w:p>
            <w:r>
              <w:t>Per-stage overrides</w:t>
            </w:r>
          </w:p>
        </w:tc>
        <w:tc>
          <w:tcPr>
            <w:tcW w:type="dxa" w:w="4968"/>
          </w:tcPr>
          <w:p>
            <w:r>
              <w:t>Yes, adult-only.</w:t>
            </w:r>
          </w:p>
        </w:tc>
      </w:tr>
      <w:tr>
        <w:tc>
          <w:tcPr>
            <w:tcW w:type="dxa" w:w="4968"/>
          </w:tcPr>
          <w:p>
            <w:r>
              <w:t>Movement changes</w:t>
            </w:r>
          </w:p>
        </w:tc>
        <w:tc>
          <w:tcPr>
            <w:tcW w:type="dxa" w:w="4968"/>
          </w:tcPr>
          <w:p>
            <w:r>
              <w:t>Out of scope; keep physics stable.</w:t>
            </w:r>
          </w:p>
        </w:tc>
      </w:tr>
      <w:tr>
        <w:tc>
          <w:tcPr>
            <w:tcW w:type="dxa" w:w="4968"/>
          </w:tcPr>
          <w:p>
            <w:r>
              <w:t>Source of truth</w:t>
            </w:r>
          </w:p>
        </w:tc>
        <w:tc>
          <w:tcPr>
            <w:tcW w:type="dxa" w:w="4968"/>
          </w:tcPr>
          <w:p>
            <w:r>
              <w:t>GitHub for code, issues, releases; Netlify deploys from repository.</w:t>
            </w:r>
          </w:p>
        </w:tc>
      </w:tr>
    </w:tbl>
    <w:p/>
    <w:p>
      <w:r>
        <w:br w:type="page"/>
      </w:r>
    </w:p>
    <w:p>
      <w:pPr>
        <w:pStyle w:val="Heading1"/>
      </w:pPr>
      <w:r>
        <w:t>Addendum Gameplay Quality and Presentation</w:t>
      </w:r>
    </w:p>
    <w:p>
      <w:r>
        <w:t>This addendum records the v0.7 gameplay issues to be corrected in the next implementation pass. The screenshots confirm three separate problems: Dynamo Fair magnet enemies communicate an area but do not produce a readable pull effect; yellow projected-damage boxes clutter ordinary combat; and the Great Wheel title is visibly blurred. These are implementation defects, not intended difficulty features.</w:t>
      </w:r>
    </w:p>
    <w:p>
      <w:pPr>
        <w:pStyle w:val="Heading2"/>
      </w:pPr>
      <w:r>
        <w:t>1. Dynamo Fair magnet enemies</w:t>
      </w:r>
    </w:p>
    <w:p>
      <w:r>
        <w:t>Replace the current decorative area-of-effect box with a tested force interaction. When Tempo enters the magnet radius, apply a horizontal attraction force toward the enemy core, with a short acceleration ramp, a maximum pull speed, and a dead-zone close to the core so the player is not snapped into contact. The effect must pause during invulnerability, menu states, and DEV mode previews unless the developer explicitly enables hazards.</w:t>
      </w:r>
    </w:p>
    <w:p>
      <w:r>
        <w:t>Feedback should be unmistakable: animated field lines point inward, loose particles drift toward the magnet, Tempo’s scarf and sprite lean toward the source, and the HUD briefly identifies “MAGNET PULL” on first activation. The field should use a translucent ring or gradient, not a solid rectangular box. Add a debug-only vector arrow and numeric force readout to DEV mode, hidden in player modes.</w:t>
      </w:r>
    </w:p>
    <w:p>
      <w:pPr>
        <w:pStyle w:val="Heading2"/>
      </w:pPr>
      <w:r>
        <w:t>2. Remove projected damage boxes</w:t>
      </w:r>
    </w:p>
    <w:p>
      <w:r>
        <w:t>Remove the small yellow “damage will occur here” boxes from regular enemies and bosses in all player-facing modes. They reveal implementation geometry, flatten visual hierarchy, and make attacks feel like debugging overlays. Replace them with readable telegraphing: enemy animation, weapon glow, impact particles, warning audio, brief attack arcs, floor shadows, or directional indicators appropriate to each enemy.</w:t>
      </w:r>
    </w:p>
    <w:p>
      <w:r>
        <w:t>Keep collision rectangles and predicted-hit volumes available in DEV mode only, behind a toggle named Debug Hitboxes. Debug visuals must be clearly labelled and must never be included in screenshots or normal gameplay.</w:t>
      </w:r>
    </w:p>
    <w:p>
      <w:pPr>
        <w:pStyle w:val="Heading2"/>
      </w:pPr>
      <w:r>
        <w:t>3. Text rendering and legibility pass</w:t>
      </w:r>
    </w:p>
    <w:p>
      <w:r>
        <w:t>The Great Wheel title shown in the supplied screenshot is blurred because pixel text is being scaled or filtered inconsistently. Replace the current treatment with a single crisp text pipeline: render UI and title text from a bitmap font or high-resolution vector source at integer scale, disable smoothing for pixel fonts, align glyphs to integer coordinates, and avoid fractional canvas scaling. Do not enlarge already-rasterized text.</w:t>
      </w:r>
    </w:p>
    <w:p>
      <w:r>
        <w:t>Audit every in-game string, including stage names, room labels, HUD counters, gate prompts, boss names, pause/settings text, tutorial copy, power names, and results screens. Text must remain readable on iPhone and iPad at the supported viewport sizes. Establish minimum contrast, minimum effective size, and a single font-size/scale token set. Any decorative pixel lettering must have a plain readable fallback where it carries gameplay information.</w:t>
      </w:r>
    </w:p>
    <w:p>
      <w:pPr>
        <w:pStyle w:val="Heading2"/>
      </w:pPr>
      <w:r>
        <w:t>4. Acceptance tests</w:t>
      </w:r>
    </w:p>
    <w:p>
      <w:pPr>
        <w:pStyle w:val="ListBullet"/>
      </w:pPr>
      <w:r>
        <w:t>Magnet enemies measurably pull Tempo from both sides of the field; force stops at the dead-zone and cannot fling the player through walls.</w:t>
      </w:r>
    </w:p>
    <w:p>
      <w:pPr>
        <w:pStyle w:val="ListBullet"/>
      </w:pPr>
      <w:r>
        <w:t>Magnet feedback is visible and audible without relying on a yellow rectangle.</w:t>
      </w:r>
    </w:p>
    <w:p>
      <w:pPr>
        <w:pStyle w:val="ListBullet"/>
      </w:pPr>
      <w:r>
        <w:t>No projected-damage boxes appear in normal, Teach, Guide, Independent, or Mastery play.</w:t>
      </w:r>
    </w:p>
    <w:p>
      <w:pPr>
        <w:pStyle w:val="ListBullet"/>
      </w:pPr>
      <w:r>
        <w:t>DEV mode can toggle Debug Hitboxes and force vectors without changing campaign or learning data.</w:t>
      </w:r>
    </w:p>
    <w:p>
      <w:pPr>
        <w:pStyle w:val="ListBullet"/>
      </w:pPr>
      <w:r>
        <w:t>The Great Wheel title and every audited string render sharply at integer scale on desktop, iPhone, and iPad layouts.</w:t>
      </w:r>
    </w:p>
    <w:p>
      <w:pPr>
        <w:pStyle w:val="ListBullet"/>
      </w:pPr>
      <w:r>
        <w:t>A screenshot regression pass confirms no blurry text, clipped labels, or debug overlays in player modes.</w:t>
      </w:r>
    </w:p>
    <w:p>
      <w:pPr>
        <w:pStyle w:val="Heading2"/>
      </w:pPr>
      <w:r>
        <w:t>5. Scope relationship to v0.8</w:t>
      </w:r>
    </w:p>
    <w:p>
      <w:r>
        <w:t>These changes are additive to the answer-mode specification. DEV mode remains adult-password protected and is the only place where hitboxes, force vectors, and other diagnostic overlays may appear. Player-facing modes retain their distinct educational answer behavior while receiving the same rendering and combat-quality fixes.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