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2F2C" w14:textId="4684C3D3" w:rsidR="00333653" w:rsidRDefault="00A914EB">
      <w:pPr>
        <w:rPr>
          <w:b/>
          <w:bCs/>
        </w:rPr>
      </w:pPr>
      <w:r w:rsidRPr="00A914EB">
        <w:rPr>
          <w:b/>
          <w:bCs/>
        </w:rPr>
        <w:t>Pathways and priority interventions for halving premature death worldwide by mid-century: a modeling study</w:t>
      </w:r>
    </w:p>
    <w:p w14:paraId="5B8D7850" w14:textId="77777777" w:rsidR="00A914EB" w:rsidRDefault="00A914EB" w:rsidP="00A914EB"/>
    <w:p w14:paraId="38F30227" w14:textId="142B489D" w:rsidR="00A914EB" w:rsidRDefault="00A914EB" w:rsidP="00A914EB">
      <w:r w:rsidRPr="00A914EB">
        <w:t>David Watkins,</w:t>
      </w:r>
      <w:r w:rsidRPr="00A914EB">
        <w:rPr>
          <w:vertAlign w:val="superscript"/>
        </w:rPr>
        <w:t>1,2</w:t>
      </w:r>
      <w:r w:rsidRPr="00A914EB">
        <w:t xml:space="preserve"> Sali Ahmed,</w:t>
      </w:r>
      <w:r w:rsidRPr="00A914EB">
        <w:rPr>
          <w:vertAlign w:val="superscript"/>
        </w:rPr>
        <w:t>2</w:t>
      </w:r>
      <w:r w:rsidRPr="00A914EB">
        <w:t xml:space="preserve"> Ana Castillo,</w:t>
      </w:r>
      <w:r w:rsidRPr="00A914EB">
        <w:rPr>
          <w:vertAlign w:val="superscript"/>
        </w:rPr>
        <w:t>2</w:t>
      </w:r>
      <w:r w:rsidRPr="00A914EB">
        <w:t xml:space="preserve"> Zahra Zeinali,</w:t>
      </w:r>
      <w:r w:rsidRPr="00A914EB">
        <w:rPr>
          <w:vertAlign w:val="superscript"/>
        </w:rPr>
        <w:t>2</w:t>
      </w:r>
      <w:r w:rsidRPr="00A914EB">
        <w:t xml:space="preserve"> William Msemburi,</w:t>
      </w:r>
      <w:r w:rsidRPr="00A914EB">
        <w:rPr>
          <w:vertAlign w:val="superscript"/>
        </w:rPr>
        <w:t>3</w:t>
      </w:r>
      <w:r w:rsidRPr="00A914EB">
        <w:t xml:space="preserve"> Jan-Magnus Økland,</w:t>
      </w:r>
      <w:r w:rsidRPr="00A914EB">
        <w:rPr>
          <w:vertAlign w:val="superscript"/>
        </w:rPr>
        <w:t>4</w:t>
      </w:r>
      <w:r w:rsidRPr="00A914EB">
        <w:t xml:space="preserve"> Dean Jamison,</w:t>
      </w:r>
      <w:r w:rsidRPr="00A914EB">
        <w:rPr>
          <w:vertAlign w:val="superscript"/>
        </w:rPr>
        <w:t>5</w:t>
      </w:r>
      <w:r w:rsidRPr="00A914EB">
        <w:t xml:space="preserve"> </w:t>
      </w:r>
      <w:proofErr w:type="spellStart"/>
      <w:r w:rsidRPr="00A914EB">
        <w:t>Gunjeet</w:t>
      </w:r>
      <w:proofErr w:type="spellEnd"/>
      <w:r w:rsidRPr="00A914EB">
        <w:t xml:space="preserve"> Kaur (?),</w:t>
      </w:r>
      <w:r w:rsidRPr="00A914EB">
        <w:rPr>
          <w:vertAlign w:val="superscript"/>
        </w:rPr>
        <w:t>6</w:t>
      </w:r>
      <w:r w:rsidRPr="00A914EB">
        <w:t xml:space="preserve"> Amalie Merkesvik,</w:t>
      </w:r>
      <w:r w:rsidRPr="00A914EB">
        <w:rPr>
          <w:vertAlign w:val="superscript"/>
        </w:rPr>
        <w:t>7</w:t>
      </w:r>
      <w:r w:rsidRPr="00A914EB">
        <w:t xml:space="preserve"> Ole Frithjof Norheim,</w:t>
      </w:r>
      <w:r w:rsidRPr="00A914EB">
        <w:rPr>
          <w:vertAlign w:val="superscript"/>
        </w:rPr>
        <w:t>4,8</w:t>
      </w:r>
      <w:r w:rsidRPr="00A914EB">
        <w:t xml:space="preserve"> Sarah Pickersgill (?),</w:t>
      </w:r>
      <w:r w:rsidRPr="00A914EB">
        <w:rPr>
          <w:vertAlign w:val="superscript"/>
        </w:rPr>
        <w:t>3</w:t>
      </w:r>
      <w:r w:rsidRPr="00A914EB">
        <w:t xml:space="preserve"> Øystein Haaland,</w:t>
      </w:r>
      <w:proofErr w:type="gramStart"/>
      <w:r w:rsidRPr="00A914EB">
        <w:rPr>
          <w:vertAlign w:val="superscript"/>
        </w:rPr>
        <w:t>4,*</w:t>
      </w:r>
      <w:proofErr w:type="gramEnd"/>
      <w:r w:rsidRPr="00A914EB">
        <w:t xml:space="preserve"> Kjell Arne Johannson</w:t>
      </w:r>
      <w:proofErr w:type="gramStart"/>
      <w:r w:rsidRPr="00A914EB">
        <w:rPr>
          <w:vertAlign w:val="superscript"/>
        </w:rPr>
        <w:t>4,*</w:t>
      </w:r>
      <w:proofErr w:type="gramEnd"/>
    </w:p>
    <w:p w14:paraId="0258FAEB" w14:textId="6B224B9B" w:rsidR="00A914EB" w:rsidRPr="00A914EB" w:rsidRDefault="00A914EB" w:rsidP="00A914EB">
      <w:r w:rsidRPr="00A914EB">
        <w:t xml:space="preserve">* </w:t>
      </w:r>
      <w:r>
        <w:t>J</w:t>
      </w:r>
      <w:r w:rsidRPr="00A914EB">
        <w:t>oint senior authors</w:t>
      </w:r>
    </w:p>
    <w:p w14:paraId="5DA66D0E" w14:textId="77777777" w:rsidR="00A914EB" w:rsidRPr="00A914EB" w:rsidRDefault="00A914EB" w:rsidP="00A914EB">
      <w:pPr>
        <w:numPr>
          <w:ilvl w:val="0"/>
          <w:numId w:val="1"/>
        </w:numPr>
      </w:pPr>
      <w:r w:rsidRPr="00A914EB">
        <w:t>Division of General Internal Medicine, University of Washington</w:t>
      </w:r>
    </w:p>
    <w:p w14:paraId="54B29896" w14:textId="77777777" w:rsidR="00A914EB" w:rsidRPr="00A914EB" w:rsidRDefault="00A914EB" w:rsidP="00A914EB">
      <w:pPr>
        <w:numPr>
          <w:ilvl w:val="0"/>
          <w:numId w:val="1"/>
        </w:numPr>
      </w:pPr>
      <w:r w:rsidRPr="00A914EB">
        <w:t>Department of Global Health, University of Washington</w:t>
      </w:r>
    </w:p>
    <w:p w14:paraId="62949EE9" w14:textId="77777777" w:rsidR="00A914EB" w:rsidRPr="00A914EB" w:rsidRDefault="00A914EB" w:rsidP="00A914EB">
      <w:pPr>
        <w:numPr>
          <w:ilvl w:val="0"/>
          <w:numId w:val="1"/>
        </w:numPr>
      </w:pPr>
      <w:r w:rsidRPr="00A914EB">
        <w:t>Independent Consultant</w:t>
      </w:r>
    </w:p>
    <w:p w14:paraId="7AA14A7A" w14:textId="77777777" w:rsidR="00A914EB" w:rsidRPr="00A914EB" w:rsidRDefault="00A914EB" w:rsidP="00A914EB">
      <w:pPr>
        <w:numPr>
          <w:ilvl w:val="0"/>
          <w:numId w:val="1"/>
        </w:numPr>
      </w:pPr>
      <w:r w:rsidRPr="00A914EB">
        <w:t>Bergen Center for Ethics and Priority Setting, Department of Global Public Health and Primary Care, University of Bergen</w:t>
      </w:r>
    </w:p>
    <w:p w14:paraId="18B31180" w14:textId="77777777" w:rsidR="00A914EB" w:rsidRPr="00A914EB" w:rsidRDefault="00A914EB" w:rsidP="00A914EB">
      <w:pPr>
        <w:numPr>
          <w:ilvl w:val="0"/>
          <w:numId w:val="1"/>
        </w:numPr>
      </w:pPr>
      <w:r w:rsidRPr="00A914EB">
        <w:t>Institute for Global Health Sciences, University of California San Francisco</w:t>
      </w:r>
    </w:p>
    <w:p w14:paraId="28B3139F" w14:textId="77777777" w:rsidR="00A914EB" w:rsidRPr="00A914EB" w:rsidRDefault="00A914EB" w:rsidP="00A914EB">
      <w:pPr>
        <w:numPr>
          <w:ilvl w:val="0"/>
          <w:numId w:val="1"/>
        </w:numPr>
      </w:pPr>
      <w:r w:rsidRPr="00A914EB">
        <w:t>Saw Swee Hock School of Public Health, National University of Singapore</w:t>
      </w:r>
    </w:p>
    <w:p w14:paraId="79049679" w14:textId="77777777" w:rsidR="00A914EB" w:rsidRPr="00A914EB" w:rsidRDefault="00A914EB" w:rsidP="00A914EB">
      <w:pPr>
        <w:numPr>
          <w:ilvl w:val="0"/>
          <w:numId w:val="1"/>
        </w:numPr>
      </w:pPr>
      <w:r w:rsidRPr="00A914EB">
        <w:t>Faculty of Medicine, University of Bergen</w:t>
      </w:r>
    </w:p>
    <w:p w14:paraId="4CC1278C" w14:textId="66723271" w:rsidR="00A914EB" w:rsidRPr="00A914EB" w:rsidRDefault="00A914EB" w:rsidP="00A914EB">
      <w:pPr>
        <w:numPr>
          <w:ilvl w:val="0"/>
          <w:numId w:val="1"/>
        </w:numPr>
      </w:pPr>
      <w:r w:rsidRPr="00A914EB">
        <w:t>Harvard T.H. Chan School of Public Health, Harvard University</w:t>
      </w:r>
    </w:p>
    <w:p w14:paraId="6DC00AE3" w14:textId="77777777" w:rsidR="00A914EB" w:rsidRDefault="00A914EB" w:rsidP="00A914EB"/>
    <w:p w14:paraId="4427CB56" w14:textId="182F6846" w:rsidR="00A914EB" w:rsidRPr="00A914EB" w:rsidRDefault="00A914EB" w:rsidP="00A914EB">
      <w:r w:rsidRPr="00A914EB">
        <w:t>Correspondence to:</w:t>
      </w:r>
    </w:p>
    <w:p w14:paraId="1FAB61B5" w14:textId="40179908" w:rsidR="00A914EB" w:rsidRDefault="00A914EB" w:rsidP="00A914EB">
      <w:r w:rsidRPr="00A914EB">
        <w:t>David A</w:t>
      </w:r>
      <w:r>
        <w:t>. Watkins, MD, MPH</w:t>
      </w:r>
    </w:p>
    <w:p w14:paraId="685D2704" w14:textId="7187BEA9" w:rsidR="00A914EB" w:rsidRDefault="00A914EB" w:rsidP="00A914EB">
      <w:r>
        <w:t>Hans Rosling Center for Population Health</w:t>
      </w:r>
    </w:p>
    <w:p w14:paraId="0B0E06BF" w14:textId="77777777" w:rsidR="00A914EB" w:rsidRDefault="00A914EB" w:rsidP="00A914EB">
      <w:r w:rsidRPr="00A914EB">
        <w:t>3980 15th Ave NE</w:t>
      </w:r>
    </w:p>
    <w:p w14:paraId="454A739B" w14:textId="015DEB06" w:rsidR="00A914EB" w:rsidRDefault="00A914EB" w:rsidP="00A914EB">
      <w:r w:rsidRPr="00A914EB">
        <w:t>Seattle, WA 98195</w:t>
      </w:r>
    </w:p>
    <w:p w14:paraId="1D6E9FBB" w14:textId="29D5BA2B" w:rsidR="00A914EB" w:rsidRPr="00A914EB" w:rsidRDefault="00A914EB" w:rsidP="00A914EB">
      <w:hyperlink r:id="rId5" w:history="1">
        <w:r w:rsidRPr="009B28CD">
          <w:rPr>
            <w:rStyle w:val="Hyperlink"/>
          </w:rPr>
          <w:t>davidaw@uw.edu</w:t>
        </w:r>
      </w:hyperlink>
      <w:r>
        <w:t xml:space="preserve"> </w:t>
      </w:r>
    </w:p>
    <w:p w14:paraId="5B6D88F0" w14:textId="77777777" w:rsidR="00A914EB" w:rsidRDefault="00A914EB" w:rsidP="00A914EB"/>
    <w:p w14:paraId="73AF7870" w14:textId="7B6E8EE9" w:rsidR="00A914EB" w:rsidRDefault="00A914EB" w:rsidP="00A914EB">
      <w:r w:rsidRPr="00A914EB">
        <w:t>Word count:</w:t>
      </w:r>
      <w:r>
        <w:t xml:space="preserve"> #### / 3000</w:t>
      </w:r>
    </w:p>
    <w:p w14:paraId="38C78FA7" w14:textId="5ADECCD6" w:rsidR="00A914EB" w:rsidRDefault="00A914EB">
      <w:r>
        <w:br w:type="page"/>
      </w:r>
    </w:p>
    <w:p w14:paraId="30651F69" w14:textId="4B5B6209" w:rsidR="00A914EB" w:rsidRPr="00956B21" w:rsidRDefault="00956B21" w:rsidP="00A914EB">
      <w:pPr>
        <w:rPr>
          <w:b/>
          <w:bCs/>
        </w:rPr>
      </w:pPr>
      <w:r w:rsidRPr="00956B21">
        <w:rPr>
          <w:b/>
          <w:bCs/>
        </w:rPr>
        <w:lastRenderedPageBreak/>
        <w:t>Introduction</w:t>
      </w:r>
    </w:p>
    <w:p w14:paraId="4A448416" w14:textId="6E463845" w:rsidR="00956B21" w:rsidRDefault="00956B21" w:rsidP="00956B21">
      <w:pPr>
        <w:pStyle w:val="ListParagraph"/>
        <w:numPr>
          <w:ilvl w:val="0"/>
          <w:numId w:val="2"/>
        </w:numPr>
      </w:pPr>
      <w:r>
        <w:t>Mortality trends pre and post pandemic</w:t>
      </w:r>
    </w:p>
    <w:p w14:paraId="1D2C84DE" w14:textId="65005FBC" w:rsidR="00956B21" w:rsidRDefault="00956B21" w:rsidP="00956B21">
      <w:pPr>
        <w:pStyle w:val="ListParagraph"/>
        <w:numPr>
          <w:ilvl w:val="0"/>
          <w:numId w:val="2"/>
        </w:numPr>
      </w:pPr>
      <w:r>
        <w:t>Health financing landscape and need to prioritize</w:t>
      </w:r>
    </w:p>
    <w:p w14:paraId="07F9AAF9" w14:textId="21407C78" w:rsidR="00956B21" w:rsidRDefault="00956B21" w:rsidP="00956B21">
      <w:pPr>
        <w:pStyle w:val="ListParagraph"/>
        <w:numPr>
          <w:ilvl w:val="0"/>
          <w:numId w:val="2"/>
        </w:numPr>
      </w:pPr>
      <w:r>
        <w:t>CIH report – priority conditions and intervention modules</w:t>
      </w:r>
    </w:p>
    <w:p w14:paraId="3ED80DA6" w14:textId="7126650F" w:rsidR="00956B21" w:rsidRDefault="00956B21" w:rsidP="00956B21">
      <w:pPr>
        <w:pStyle w:val="ListParagraph"/>
        <w:numPr>
          <w:ilvl w:val="0"/>
          <w:numId w:val="2"/>
        </w:numPr>
      </w:pPr>
      <w:r>
        <w:t>Objective: identify high-priority interventions for focused scale-up to achieve 50x50</w:t>
      </w:r>
    </w:p>
    <w:p w14:paraId="3C3BF9CD" w14:textId="77777777" w:rsidR="00956B21" w:rsidRDefault="00956B21" w:rsidP="00956B21"/>
    <w:p w14:paraId="047E2A0B" w14:textId="5C74DB3E" w:rsidR="00956B21" w:rsidRPr="00956B21" w:rsidRDefault="00956B21" w:rsidP="00956B21">
      <w:pPr>
        <w:rPr>
          <w:b/>
          <w:bCs/>
        </w:rPr>
      </w:pPr>
      <w:r w:rsidRPr="00956B21">
        <w:rPr>
          <w:b/>
          <w:bCs/>
        </w:rPr>
        <w:t>Methods</w:t>
      </w:r>
    </w:p>
    <w:p w14:paraId="7D7F8D5E" w14:textId="3C6E0893" w:rsidR="00956B21" w:rsidRDefault="00956B21" w:rsidP="00956B21">
      <w:pPr>
        <w:pStyle w:val="ListParagraph"/>
        <w:numPr>
          <w:ilvl w:val="0"/>
          <w:numId w:val="2"/>
        </w:numPr>
      </w:pPr>
      <w:r>
        <w:t xml:space="preserve">Methods appendix </w:t>
      </w:r>
      <w:hyperlink r:id="rId6" w:history="1">
        <w:r w:rsidRPr="00956B21">
          <w:rPr>
            <w:rStyle w:val="Hyperlink"/>
          </w:rPr>
          <w:t>here</w:t>
        </w:r>
      </w:hyperlink>
      <w:r>
        <w:t>, in progress</w:t>
      </w:r>
    </w:p>
    <w:p w14:paraId="497A0C72" w14:textId="39EB6013" w:rsidR="00956B21" w:rsidRDefault="00956B21" w:rsidP="00956B21">
      <w:pPr>
        <w:pStyle w:val="ListParagraph"/>
        <w:numPr>
          <w:ilvl w:val="0"/>
          <w:numId w:val="2"/>
        </w:numPr>
      </w:pPr>
      <w:r>
        <w:t>Description of impact model, demography model, and cost model</w:t>
      </w:r>
    </w:p>
    <w:p w14:paraId="2456306E" w14:textId="398E83BD" w:rsidR="00956B21" w:rsidRDefault="00956B21" w:rsidP="00956B21">
      <w:pPr>
        <w:pStyle w:val="ListParagraph"/>
        <w:numPr>
          <w:ilvl w:val="0"/>
          <w:numId w:val="2"/>
        </w:numPr>
      </w:pPr>
      <w:r>
        <w:t>Intervention database/input data (add 2</w:t>
      </w:r>
      <w:r w:rsidRPr="00956B21">
        <w:rPr>
          <w:vertAlign w:val="superscript"/>
        </w:rPr>
        <w:t>nd</w:t>
      </w:r>
      <w:r>
        <w:t xml:space="preserve"> appendix with PDFs of all evidence briefs)</w:t>
      </w:r>
    </w:p>
    <w:p w14:paraId="39FF8759" w14:textId="0C60B358" w:rsidR="00956B21" w:rsidRDefault="00956B21" w:rsidP="00956B21">
      <w:pPr>
        <w:pStyle w:val="ListParagraph"/>
        <w:numPr>
          <w:ilvl w:val="0"/>
          <w:numId w:val="2"/>
        </w:numPr>
      </w:pPr>
      <w:r>
        <w:t>Introduce the 15 priority condition</w:t>
      </w:r>
      <w:r w:rsidR="001B1EB9">
        <w:t>s (see panel from CIH report</w:t>
      </w:r>
      <w:r w:rsidR="00935C82">
        <w:t>,</w:t>
      </w:r>
      <w:r w:rsidR="001B1EB9">
        <w:t xml:space="preserve"> end of this doc)</w:t>
      </w:r>
    </w:p>
    <w:p w14:paraId="37FFB0C7" w14:textId="7E89C242" w:rsidR="00956B21" w:rsidRDefault="00956B21" w:rsidP="00956B21">
      <w:pPr>
        <w:pStyle w:val="ListParagraph"/>
        <w:numPr>
          <w:ilvl w:val="0"/>
          <w:numId w:val="2"/>
        </w:numPr>
      </w:pPr>
      <w:r>
        <w:t>Analyses</w:t>
      </w:r>
      <w:r w:rsidR="00935C82">
        <w:t xml:space="preserve">, </w:t>
      </w:r>
      <w:r w:rsidR="001B1EB9">
        <w:t>done for 195 countries</w:t>
      </w:r>
      <w:r w:rsidR="00935C82">
        <w:t xml:space="preserve"> and 10 CIH regions (see figure from CIH report, end of this doc</w:t>
      </w:r>
      <w:r w:rsidR="001B1EB9">
        <w:t>)</w:t>
      </w:r>
      <w:r>
        <w:t>:</w:t>
      </w:r>
    </w:p>
    <w:p w14:paraId="344BFE3B" w14:textId="6BE1590A" w:rsidR="00956B21" w:rsidRDefault="00956B21" w:rsidP="00956B21">
      <w:pPr>
        <w:pStyle w:val="ListParagraph"/>
        <w:numPr>
          <w:ilvl w:val="1"/>
          <w:numId w:val="2"/>
        </w:numPr>
      </w:pPr>
      <w:r>
        <w:t>Cost-effectiveness of different interventions and modules</w:t>
      </w:r>
    </w:p>
    <w:p w14:paraId="61BE79D3" w14:textId="64F72E99" w:rsidR="001656B4" w:rsidRDefault="001656B4" w:rsidP="001656B4">
      <w:pPr>
        <w:pStyle w:val="ListParagraph"/>
        <w:numPr>
          <w:ilvl w:val="2"/>
          <w:numId w:val="2"/>
        </w:numPr>
      </w:pPr>
      <w:r>
        <w:t>Appendix: compare $/70q0 to $/HLY as in NCD countdown</w:t>
      </w:r>
    </w:p>
    <w:p w14:paraId="0999EF0F" w14:textId="510551C6" w:rsidR="002A6255" w:rsidRDefault="002A6255" w:rsidP="001656B4">
      <w:pPr>
        <w:pStyle w:val="ListParagraph"/>
        <w:numPr>
          <w:ilvl w:val="2"/>
          <w:numId w:val="2"/>
        </w:numPr>
      </w:pPr>
      <w:r>
        <w:t>This time, include tobacco taxes and regulations (not currently in FC but can pull data from NCD countdown and include in model)</w:t>
      </w:r>
    </w:p>
    <w:p w14:paraId="300F420C" w14:textId="77777777" w:rsidR="001656B4" w:rsidRDefault="00956B21" w:rsidP="00956B21">
      <w:pPr>
        <w:pStyle w:val="ListParagraph"/>
        <w:numPr>
          <w:ilvl w:val="1"/>
          <w:numId w:val="2"/>
        </w:numPr>
      </w:pPr>
      <w:r>
        <w:t>Efficient pathways towards 50x50 target</w:t>
      </w:r>
    </w:p>
    <w:p w14:paraId="0CCCEB80" w14:textId="617785FA" w:rsidR="00956B21" w:rsidRDefault="001656B4" w:rsidP="001656B4">
      <w:pPr>
        <w:pStyle w:val="ListParagraph"/>
        <w:numPr>
          <w:ilvl w:val="2"/>
          <w:numId w:val="2"/>
        </w:numPr>
      </w:pPr>
      <w:r>
        <w:t>Similar to NCD countdown, but EXCLUDE non C-E interventions from each package</w:t>
      </w:r>
    </w:p>
    <w:p w14:paraId="148B5C49" w14:textId="66639A76" w:rsidR="001656B4" w:rsidRDefault="001656B4" w:rsidP="001656B4">
      <w:pPr>
        <w:pStyle w:val="ListParagraph"/>
        <w:numPr>
          <w:ilvl w:val="2"/>
          <w:numId w:val="2"/>
        </w:numPr>
      </w:pPr>
      <w:r>
        <w:t>Sequence conditions from largest to smallest impact on 70q0 in each country (TBC, need to discuss)</w:t>
      </w:r>
    </w:p>
    <w:p w14:paraId="06CFF0EA" w14:textId="19A38F75" w:rsidR="00956B21" w:rsidRDefault="00956B21" w:rsidP="002A6255">
      <w:pPr>
        <w:pStyle w:val="ListParagraph"/>
        <w:numPr>
          <w:ilvl w:val="0"/>
          <w:numId w:val="2"/>
        </w:numPr>
      </w:pPr>
      <w:r>
        <w:t>Scenario analyses:</w:t>
      </w:r>
      <w:r w:rsidR="002A6255">
        <w:t xml:space="preserve"> a</w:t>
      </w:r>
      <w:r>
        <w:t xml:space="preserve">ccelerated </w:t>
      </w:r>
      <w:r w:rsidR="001B1EB9">
        <w:t>and</w:t>
      </w:r>
      <w:r>
        <w:t xml:space="preserve"> reduced met need for family planning </w:t>
      </w:r>
    </w:p>
    <w:p w14:paraId="302596D1" w14:textId="424CE9B5" w:rsidR="00956B21" w:rsidRDefault="00956B21" w:rsidP="00956B21">
      <w:pPr>
        <w:pStyle w:val="ListParagraph"/>
        <w:numPr>
          <w:ilvl w:val="0"/>
          <w:numId w:val="2"/>
        </w:numPr>
      </w:pPr>
      <w:r>
        <w:t>Ethics, role of funder, etc.</w:t>
      </w:r>
    </w:p>
    <w:p w14:paraId="0C9AF785" w14:textId="77777777" w:rsidR="001B1EB9" w:rsidRDefault="001B1EB9" w:rsidP="001B1EB9">
      <w:pPr>
        <w:rPr>
          <w:b/>
          <w:bCs/>
        </w:rPr>
      </w:pPr>
    </w:p>
    <w:p w14:paraId="37C9A9D6" w14:textId="2C7C3E8E" w:rsidR="001B1EB9" w:rsidRDefault="001B1EB9" w:rsidP="001B1EB9">
      <w:pPr>
        <w:rPr>
          <w:b/>
          <w:bCs/>
        </w:rPr>
      </w:pPr>
      <w:r>
        <w:rPr>
          <w:b/>
          <w:bCs/>
        </w:rPr>
        <w:t>Dummy tables and figures for results</w:t>
      </w:r>
    </w:p>
    <w:p w14:paraId="3DAE6045" w14:textId="7AB9101A" w:rsidR="00BE7E9C" w:rsidRDefault="00BE7E9C" w:rsidP="001B1EB9"/>
    <w:p w14:paraId="7D35B51E" w14:textId="28ABA6F7" w:rsidR="001B1EB9" w:rsidRDefault="001656B4" w:rsidP="001B1EB9">
      <w:r w:rsidRPr="00D435EC">
        <w:rPr>
          <w:b/>
          <w:bCs/>
          <w:noProof/>
        </w:rPr>
        <w:lastRenderedPageBreak/>
        <w:drawing>
          <wp:anchor distT="0" distB="0" distL="114300" distR="114300" simplePos="0" relativeHeight="251658240" behindDoc="0" locked="0" layoutInCell="1" allowOverlap="1" wp14:anchorId="3F349DD5" wp14:editId="72D470BF">
            <wp:simplePos x="0" y="0"/>
            <wp:positionH relativeFrom="column">
              <wp:posOffset>-379095</wp:posOffset>
            </wp:positionH>
            <wp:positionV relativeFrom="paragraph">
              <wp:posOffset>321945</wp:posOffset>
            </wp:positionV>
            <wp:extent cx="2982595" cy="2237105"/>
            <wp:effectExtent l="4445" t="0" r="6350" b="6350"/>
            <wp:wrapSquare wrapText="bothSides"/>
            <wp:docPr id="1087302395" name="Picture 1" descr="A white board with black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02395" name="Picture 1" descr="A white board with black writing on i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982595" cy="2237105"/>
                    </a:xfrm>
                    <a:prstGeom prst="rect">
                      <a:avLst/>
                    </a:prstGeom>
                  </pic:spPr>
                </pic:pic>
              </a:graphicData>
            </a:graphic>
            <wp14:sizeRelH relativeFrom="page">
              <wp14:pctWidth>0</wp14:pctWidth>
            </wp14:sizeRelH>
            <wp14:sizeRelV relativeFrom="page">
              <wp14:pctHeight>0</wp14:pctHeight>
            </wp14:sizeRelV>
          </wp:anchor>
        </w:drawing>
      </w:r>
      <w:r w:rsidR="001B1EB9" w:rsidRPr="00D435EC">
        <w:rPr>
          <w:b/>
          <w:bCs/>
        </w:rPr>
        <w:t>Figure X.</w:t>
      </w:r>
      <w:r w:rsidR="001B1EB9">
        <w:t xml:space="preserve"> Intervention cost-effectiveness by condition. Each row denotes the range of cost-effectiveness ratios for </w:t>
      </w:r>
      <w:proofErr w:type="spellStart"/>
      <w:r w:rsidR="001B1EB9">
        <w:t>FairChoices</w:t>
      </w:r>
      <w:proofErr w:type="spellEnd"/>
      <w:r w:rsidR="001B1EB9">
        <w:t xml:space="preserve"> interventions addressing that condition. The left bar denotes the most cost-effective intervention, and the right bar denotes the least cost-effective intervention. The aggregate effect of all interventions within that group is shown as the central dot. Cost-effectiveness ratios are calculated one by one for each intervention (or in the case of the central dot, all interventions addressing that condition) for a standardized 10% increase in coverage sustained over 2025-2050.</w:t>
      </w:r>
      <w:r w:rsidR="00935C82">
        <w:t xml:space="preserve"> Results are reported as the aggregate (population-weighted) cost-effectiveness across 195 countries.</w:t>
      </w:r>
    </w:p>
    <w:p w14:paraId="2C351167" w14:textId="77777777" w:rsidR="001656B4" w:rsidRDefault="001656B4" w:rsidP="001B1EB9"/>
    <w:p w14:paraId="52CDBDC5" w14:textId="7A766CB3" w:rsidR="00935C82" w:rsidRPr="001656B4" w:rsidRDefault="00935C82" w:rsidP="001B1EB9">
      <w:pPr>
        <w:rPr>
          <w:b/>
          <w:bCs/>
        </w:rPr>
      </w:pPr>
      <w:r w:rsidRPr="00D435EC">
        <w:rPr>
          <w:b/>
          <w:bCs/>
          <w:noProof/>
        </w:rPr>
        <w:drawing>
          <wp:anchor distT="0" distB="0" distL="114300" distR="114300" simplePos="0" relativeHeight="251659264" behindDoc="0" locked="0" layoutInCell="1" allowOverlap="1" wp14:anchorId="283B81AB" wp14:editId="1BCF17E5">
            <wp:simplePos x="0" y="0"/>
            <wp:positionH relativeFrom="column">
              <wp:posOffset>3200400</wp:posOffset>
            </wp:positionH>
            <wp:positionV relativeFrom="paragraph">
              <wp:posOffset>667385</wp:posOffset>
            </wp:positionV>
            <wp:extent cx="2743200" cy="2057400"/>
            <wp:effectExtent l="0" t="0" r="0" b="0"/>
            <wp:wrapSquare wrapText="bothSides"/>
            <wp:docPr id="710751432" name="Picture 2" descr="A graph on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51432" name="Picture 2" descr="A graph on a whiteboar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2057400"/>
                    </a:xfrm>
                    <a:prstGeom prst="rect">
                      <a:avLst/>
                    </a:prstGeom>
                  </pic:spPr>
                </pic:pic>
              </a:graphicData>
            </a:graphic>
            <wp14:sizeRelH relativeFrom="page">
              <wp14:pctWidth>0</wp14:pctWidth>
            </wp14:sizeRelH>
            <wp14:sizeRelV relativeFrom="page">
              <wp14:pctHeight>0</wp14:pctHeight>
            </wp14:sizeRelV>
          </wp:anchor>
        </w:drawing>
      </w:r>
      <w:r w:rsidRPr="00D435EC">
        <w:rPr>
          <w:b/>
          <w:bCs/>
        </w:rPr>
        <w:t>Figure Y.</w:t>
      </w:r>
      <w:r w:rsidRPr="00935C82">
        <w:t xml:space="preserve"> </w:t>
      </w:r>
      <w:r>
        <w:t xml:space="preserve">Prospects for achieving the 50x50 target, by world region. </w:t>
      </w:r>
      <w:r w:rsidR="001656B4">
        <w:t>The plot shows the trend in 70q0 over time by world region, relative each region’s 2019 value for 70q0. The trend assumes that the intervention pathway outlined in the methods section is followed and that the priority interventions are fully implemented by 2050. The dotted line denotes a 70q0 that is 50% lower than the 2019 level, and trendlines that cross this threshold indicate that the target has been achieved in that region. Of course, individual countries within each region will have different trajectories better or worse than the average; see the appendix for plots of individual countries within each region.</w:t>
      </w:r>
    </w:p>
    <w:p w14:paraId="7419C608" w14:textId="77777777" w:rsidR="001656B4" w:rsidRDefault="001656B4"/>
    <w:p w14:paraId="4FFD5B4D" w14:textId="77777777" w:rsidR="0018318D" w:rsidRDefault="001656B4">
      <w:r w:rsidRPr="00D435EC">
        <w:rPr>
          <w:b/>
          <w:bCs/>
        </w:rPr>
        <w:t>Table A.</w:t>
      </w:r>
      <w:r>
        <w:t xml:space="preserve"> </w:t>
      </w:r>
      <w:r w:rsidR="0018318D">
        <w:t>Overall impact and cost of achieving the 50x50 target, by world region.</w:t>
      </w:r>
    </w:p>
    <w:tbl>
      <w:tblPr>
        <w:tblStyle w:val="TableGrid"/>
        <w:tblW w:w="0" w:type="auto"/>
        <w:tblLook w:val="04A0" w:firstRow="1" w:lastRow="0" w:firstColumn="1" w:lastColumn="0" w:noHBand="0" w:noVBand="1"/>
      </w:tblPr>
      <w:tblGrid>
        <w:gridCol w:w="2245"/>
        <w:gridCol w:w="1776"/>
        <w:gridCol w:w="1776"/>
        <w:gridCol w:w="1776"/>
        <w:gridCol w:w="1777"/>
      </w:tblGrid>
      <w:tr w:rsidR="0018318D" w14:paraId="7C2B66BA" w14:textId="77777777" w:rsidTr="0064765A">
        <w:tc>
          <w:tcPr>
            <w:tcW w:w="2245" w:type="dxa"/>
            <w:vAlign w:val="center"/>
          </w:tcPr>
          <w:p w14:paraId="1124126A" w14:textId="7635DBD0" w:rsidR="0018318D" w:rsidRPr="0064765A" w:rsidRDefault="0018318D" w:rsidP="0064765A">
            <w:pPr>
              <w:rPr>
                <w:b/>
                <w:bCs/>
              </w:rPr>
            </w:pPr>
            <w:r w:rsidRPr="0064765A">
              <w:rPr>
                <w:b/>
                <w:bCs/>
              </w:rPr>
              <w:t>Region</w:t>
            </w:r>
          </w:p>
        </w:tc>
        <w:tc>
          <w:tcPr>
            <w:tcW w:w="1776" w:type="dxa"/>
            <w:vAlign w:val="center"/>
          </w:tcPr>
          <w:p w14:paraId="2FE3321E" w14:textId="6F4557A2" w:rsidR="0018318D" w:rsidRPr="0064765A" w:rsidRDefault="0064765A" w:rsidP="0064765A">
            <w:pPr>
              <w:jc w:val="center"/>
              <w:rPr>
                <w:b/>
                <w:bCs/>
              </w:rPr>
            </w:pPr>
            <w:r w:rsidRPr="0064765A">
              <w:rPr>
                <w:b/>
                <w:bCs/>
              </w:rPr>
              <w:t>Change in 70q0 (2050 vs. 2019)</w:t>
            </w:r>
          </w:p>
        </w:tc>
        <w:tc>
          <w:tcPr>
            <w:tcW w:w="1776" w:type="dxa"/>
            <w:vAlign w:val="center"/>
          </w:tcPr>
          <w:p w14:paraId="3A0678EC" w14:textId="7CD6EB54" w:rsidR="0018318D" w:rsidRPr="0064765A" w:rsidRDefault="0064765A" w:rsidP="0064765A">
            <w:pPr>
              <w:jc w:val="center"/>
              <w:rPr>
                <w:b/>
                <w:bCs/>
              </w:rPr>
            </w:pPr>
            <w:r w:rsidRPr="0064765A">
              <w:rPr>
                <w:b/>
                <w:bCs/>
              </w:rPr>
              <w:t>Premature deaths averted (millions)</w:t>
            </w:r>
          </w:p>
        </w:tc>
        <w:tc>
          <w:tcPr>
            <w:tcW w:w="1776" w:type="dxa"/>
            <w:vAlign w:val="center"/>
          </w:tcPr>
          <w:p w14:paraId="2559CF47" w14:textId="50ACCC07" w:rsidR="0018318D" w:rsidRPr="0064765A" w:rsidRDefault="0064765A" w:rsidP="0064765A">
            <w:pPr>
              <w:jc w:val="center"/>
              <w:rPr>
                <w:b/>
                <w:bCs/>
              </w:rPr>
            </w:pPr>
            <w:r w:rsidRPr="0064765A">
              <w:rPr>
                <w:b/>
                <w:bCs/>
              </w:rPr>
              <w:t>Cumulative incremental costs (US$, billions)</w:t>
            </w:r>
          </w:p>
        </w:tc>
        <w:tc>
          <w:tcPr>
            <w:tcW w:w="1777" w:type="dxa"/>
            <w:vAlign w:val="center"/>
          </w:tcPr>
          <w:p w14:paraId="01718C98" w14:textId="7DD48AF5" w:rsidR="0018318D" w:rsidRPr="0064765A" w:rsidRDefault="0064765A" w:rsidP="0064765A">
            <w:pPr>
              <w:jc w:val="center"/>
              <w:rPr>
                <w:b/>
                <w:bCs/>
              </w:rPr>
            </w:pPr>
            <w:r w:rsidRPr="0064765A">
              <w:rPr>
                <w:b/>
                <w:bCs/>
              </w:rPr>
              <w:t xml:space="preserve">Average annual incremental cost as a share of 2023 </w:t>
            </w:r>
            <w:r>
              <w:rPr>
                <w:b/>
                <w:bCs/>
              </w:rPr>
              <w:t>GNI</w:t>
            </w:r>
          </w:p>
        </w:tc>
      </w:tr>
      <w:tr w:rsidR="0064765A" w14:paraId="0241A71A" w14:textId="77777777" w:rsidTr="0064765A">
        <w:trPr>
          <w:trHeight w:val="720"/>
        </w:trPr>
        <w:tc>
          <w:tcPr>
            <w:tcW w:w="2245" w:type="dxa"/>
            <w:vAlign w:val="center"/>
          </w:tcPr>
          <w:p w14:paraId="288C7FE9" w14:textId="2568E750" w:rsidR="0064765A" w:rsidRPr="0064765A" w:rsidRDefault="0064765A" w:rsidP="0064765A">
            <w:r>
              <w:lastRenderedPageBreak/>
              <w:t>Central Asia</w:t>
            </w:r>
          </w:p>
        </w:tc>
        <w:tc>
          <w:tcPr>
            <w:tcW w:w="1776" w:type="dxa"/>
            <w:vAlign w:val="center"/>
          </w:tcPr>
          <w:p w14:paraId="3113C637" w14:textId="696BC258" w:rsidR="0064765A" w:rsidRPr="0064765A" w:rsidRDefault="0064765A" w:rsidP="0064765A">
            <w:pPr>
              <w:jc w:val="center"/>
            </w:pPr>
            <w:r>
              <w:t>-##%</w:t>
            </w:r>
          </w:p>
        </w:tc>
        <w:tc>
          <w:tcPr>
            <w:tcW w:w="1776" w:type="dxa"/>
            <w:vAlign w:val="center"/>
          </w:tcPr>
          <w:p w14:paraId="5EA80B23" w14:textId="5D52B5E2" w:rsidR="0064765A" w:rsidRPr="0064765A" w:rsidRDefault="0064765A" w:rsidP="0064765A">
            <w:pPr>
              <w:jc w:val="center"/>
            </w:pPr>
            <w:r>
              <w:t>##</w:t>
            </w:r>
          </w:p>
        </w:tc>
        <w:tc>
          <w:tcPr>
            <w:tcW w:w="1776" w:type="dxa"/>
            <w:vAlign w:val="center"/>
          </w:tcPr>
          <w:p w14:paraId="6FC031C7" w14:textId="4AE4D9BE" w:rsidR="0064765A" w:rsidRPr="0064765A" w:rsidRDefault="0064765A" w:rsidP="0064765A">
            <w:pPr>
              <w:jc w:val="center"/>
            </w:pPr>
            <w:r>
              <w:t>$##</w:t>
            </w:r>
          </w:p>
        </w:tc>
        <w:tc>
          <w:tcPr>
            <w:tcW w:w="1777" w:type="dxa"/>
            <w:vAlign w:val="center"/>
          </w:tcPr>
          <w:p w14:paraId="3B4286FF" w14:textId="216786F5" w:rsidR="0064765A" w:rsidRPr="0064765A" w:rsidRDefault="0064765A" w:rsidP="0064765A">
            <w:pPr>
              <w:jc w:val="center"/>
            </w:pPr>
            <w:r>
              <w:t>%</w:t>
            </w:r>
          </w:p>
        </w:tc>
      </w:tr>
      <w:tr w:rsidR="0018318D" w14:paraId="45134F82" w14:textId="77777777" w:rsidTr="0064765A">
        <w:trPr>
          <w:trHeight w:val="720"/>
        </w:trPr>
        <w:tc>
          <w:tcPr>
            <w:tcW w:w="2245" w:type="dxa"/>
            <w:vAlign w:val="center"/>
          </w:tcPr>
          <w:p w14:paraId="2810E0AA" w14:textId="0DF053D5" w:rsidR="0018318D" w:rsidRPr="0064765A" w:rsidRDefault="0064765A" w:rsidP="0064765A">
            <w:r w:rsidRPr="0064765A">
              <w:t>Central and Eastern Europe</w:t>
            </w:r>
          </w:p>
        </w:tc>
        <w:tc>
          <w:tcPr>
            <w:tcW w:w="1776" w:type="dxa"/>
            <w:vAlign w:val="center"/>
          </w:tcPr>
          <w:p w14:paraId="2A8798C6" w14:textId="4679EE01" w:rsidR="0018318D" w:rsidRPr="0064765A" w:rsidRDefault="0064765A" w:rsidP="0064765A">
            <w:pPr>
              <w:jc w:val="center"/>
            </w:pPr>
            <w:r>
              <w:t>-##%</w:t>
            </w:r>
          </w:p>
        </w:tc>
        <w:tc>
          <w:tcPr>
            <w:tcW w:w="1776" w:type="dxa"/>
            <w:vAlign w:val="center"/>
          </w:tcPr>
          <w:p w14:paraId="2EFCB48E" w14:textId="61020AF3" w:rsidR="0018318D" w:rsidRPr="0064765A" w:rsidRDefault="0064765A" w:rsidP="0064765A">
            <w:pPr>
              <w:jc w:val="center"/>
            </w:pPr>
            <w:r>
              <w:t>##</w:t>
            </w:r>
          </w:p>
        </w:tc>
        <w:tc>
          <w:tcPr>
            <w:tcW w:w="1776" w:type="dxa"/>
            <w:vAlign w:val="center"/>
          </w:tcPr>
          <w:p w14:paraId="2FA77026" w14:textId="4EFBDADB" w:rsidR="0018318D" w:rsidRPr="0064765A" w:rsidRDefault="0064765A" w:rsidP="0064765A">
            <w:pPr>
              <w:jc w:val="center"/>
            </w:pPr>
            <w:r>
              <w:t>$##</w:t>
            </w:r>
          </w:p>
        </w:tc>
        <w:tc>
          <w:tcPr>
            <w:tcW w:w="1777" w:type="dxa"/>
            <w:vAlign w:val="center"/>
          </w:tcPr>
          <w:p w14:paraId="45861CFF" w14:textId="1BB131F5" w:rsidR="0018318D" w:rsidRPr="0064765A" w:rsidRDefault="0064765A" w:rsidP="0064765A">
            <w:pPr>
              <w:jc w:val="center"/>
            </w:pPr>
            <w:r>
              <w:t>%</w:t>
            </w:r>
          </w:p>
        </w:tc>
      </w:tr>
      <w:tr w:rsidR="0018318D" w14:paraId="4DCFB764" w14:textId="77777777" w:rsidTr="0064765A">
        <w:trPr>
          <w:trHeight w:val="720"/>
        </w:trPr>
        <w:tc>
          <w:tcPr>
            <w:tcW w:w="2245" w:type="dxa"/>
            <w:vAlign w:val="center"/>
          </w:tcPr>
          <w:p w14:paraId="10DE0526" w14:textId="1A25B006" w:rsidR="0018318D" w:rsidRPr="0064765A" w:rsidRDefault="0064765A" w:rsidP="0064765A">
            <w:r>
              <w:t>China</w:t>
            </w:r>
          </w:p>
        </w:tc>
        <w:tc>
          <w:tcPr>
            <w:tcW w:w="1776" w:type="dxa"/>
            <w:vAlign w:val="center"/>
          </w:tcPr>
          <w:p w14:paraId="30782AE5" w14:textId="4EAC68DD" w:rsidR="0018318D" w:rsidRPr="0064765A" w:rsidRDefault="0064765A" w:rsidP="0064765A">
            <w:pPr>
              <w:jc w:val="center"/>
            </w:pPr>
            <w:r>
              <w:t>-##%</w:t>
            </w:r>
          </w:p>
        </w:tc>
        <w:tc>
          <w:tcPr>
            <w:tcW w:w="1776" w:type="dxa"/>
            <w:vAlign w:val="center"/>
          </w:tcPr>
          <w:p w14:paraId="0D124D7D" w14:textId="266AFBEC" w:rsidR="0018318D" w:rsidRPr="0064765A" w:rsidRDefault="0064765A" w:rsidP="0064765A">
            <w:pPr>
              <w:jc w:val="center"/>
            </w:pPr>
            <w:r>
              <w:t>##</w:t>
            </w:r>
          </w:p>
        </w:tc>
        <w:tc>
          <w:tcPr>
            <w:tcW w:w="1776" w:type="dxa"/>
            <w:vAlign w:val="center"/>
          </w:tcPr>
          <w:p w14:paraId="12337407" w14:textId="2F07F3CD" w:rsidR="0018318D" w:rsidRPr="0064765A" w:rsidRDefault="0064765A" w:rsidP="0064765A">
            <w:pPr>
              <w:jc w:val="center"/>
            </w:pPr>
            <w:r>
              <w:t>$##</w:t>
            </w:r>
          </w:p>
        </w:tc>
        <w:tc>
          <w:tcPr>
            <w:tcW w:w="1777" w:type="dxa"/>
            <w:vAlign w:val="center"/>
          </w:tcPr>
          <w:p w14:paraId="5AF6EC2F" w14:textId="77D64C62" w:rsidR="0018318D" w:rsidRPr="0064765A" w:rsidRDefault="0064765A" w:rsidP="0064765A">
            <w:pPr>
              <w:jc w:val="center"/>
            </w:pPr>
            <w:r>
              <w:t>%</w:t>
            </w:r>
          </w:p>
        </w:tc>
      </w:tr>
      <w:tr w:rsidR="0064765A" w14:paraId="6230E4ED" w14:textId="77777777" w:rsidTr="0064765A">
        <w:trPr>
          <w:trHeight w:val="720"/>
        </w:trPr>
        <w:tc>
          <w:tcPr>
            <w:tcW w:w="2245" w:type="dxa"/>
            <w:vAlign w:val="center"/>
          </w:tcPr>
          <w:p w14:paraId="228C3448" w14:textId="1F06AE64" w:rsidR="0064765A" w:rsidRDefault="0064765A" w:rsidP="0064765A">
            <w:r>
              <w:t>India</w:t>
            </w:r>
          </w:p>
        </w:tc>
        <w:tc>
          <w:tcPr>
            <w:tcW w:w="1776" w:type="dxa"/>
            <w:vAlign w:val="center"/>
          </w:tcPr>
          <w:p w14:paraId="77BE6513" w14:textId="473FD195" w:rsidR="0064765A" w:rsidRPr="0064765A" w:rsidRDefault="0064765A" w:rsidP="0064765A">
            <w:pPr>
              <w:jc w:val="center"/>
            </w:pPr>
            <w:r>
              <w:t>-##%</w:t>
            </w:r>
          </w:p>
        </w:tc>
        <w:tc>
          <w:tcPr>
            <w:tcW w:w="1776" w:type="dxa"/>
            <w:vAlign w:val="center"/>
          </w:tcPr>
          <w:p w14:paraId="5E388F93" w14:textId="714F58EF" w:rsidR="0064765A" w:rsidRPr="0064765A" w:rsidRDefault="0064765A" w:rsidP="0064765A">
            <w:pPr>
              <w:jc w:val="center"/>
            </w:pPr>
            <w:r>
              <w:t>##</w:t>
            </w:r>
          </w:p>
        </w:tc>
        <w:tc>
          <w:tcPr>
            <w:tcW w:w="1776" w:type="dxa"/>
            <w:vAlign w:val="center"/>
          </w:tcPr>
          <w:p w14:paraId="3AE8D60A" w14:textId="5F20DD0E" w:rsidR="0064765A" w:rsidRPr="0064765A" w:rsidRDefault="0064765A" w:rsidP="0064765A">
            <w:pPr>
              <w:jc w:val="center"/>
            </w:pPr>
            <w:r>
              <w:t>$##</w:t>
            </w:r>
          </w:p>
        </w:tc>
        <w:tc>
          <w:tcPr>
            <w:tcW w:w="1777" w:type="dxa"/>
            <w:vAlign w:val="center"/>
          </w:tcPr>
          <w:p w14:paraId="11681D18" w14:textId="733D3745" w:rsidR="0064765A" w:rsidRPr="0064765A" w:rsidRDefault="0064765A" w:rsidP="0064765A">
            <w:pPr>
              <w:jc w:val="center"/>
            </w:pPr>
            <w:r>
              <w:t>%</w:t>
            </w:r>
          </w:p>
        </w:tc>
      </w:tr>
      <w:tr w:rsidR="0018318D" w14:paraId="45BB0D96" w14:textId="77777777" w:rsidTr="0064765A">
        <w:trPr>
          <w:trHeight w:val="720"/>
        </w:trPr>
        <w:tc>
          <w:tcPr>
            <w:tcW w:w="2245" w:type="dxa"/>
            <w:vAlign w:val="center"/>
          </w:tcPr>
          <w:p w14:paraId="34BB5BE2" w14:textId="1C755E11" w:rsidR="0018318D" w:rsidRPr="0064765A" w:rsidRDefault="0064765A" w:rsidP="0064765A">
            <w:r>
              <w:t>Latin America and Caribbean</w:t>
            </w:r>
          </w:p>
        </w:tc>
        <w:tc>
          <w:tcPr>
            <w:tcW w:w="1776" w:type="dxa"/>
            <w:vAlign w:val="center"/>
          </w:tcPr>
          <w:p w14:paraId="12C0BDCD" w14:textId="76581F29" w:rsidR="0018318D" w:rsidRPr="0064765A" w:rsidRDefault="0064765A" w:rsidP="0064765A">
            <w:pPr>
              <w:jc w:val="center"/>
            </w:pPr>
            <w:r>
              <w:t>-##%</w:t>
            </w:r>
          </w:p>
        </w:tc>
        <w:tc>
          <w:tcPr>
            <w:tcW w:w="1776" w:type="dxa"/>
            <w:vAlign w:val="center"/>
          </w:tcPr>
          <w:p w14:paraId="073E2D01" w14:textId="0C13BE9D" w:rsidR="0018318D" w:rsidRPr="0064765A" w:rsidRDefault="0064765A" w:rsidP="0064765A">
            <w:pPr>
              <w:jc w:val="center"/>
            </w:pPr>
            <w:r>
              <w:t>##</w:t>
            </w:r>
          </w:p>
        </w:tc>
        <w:tc>
          <w:tcPr>
            <w:tcW w:w="1776" w:type="dxa"/>
            <w:vAlign w:val="center"/>
          </w:tcPr>
          <w:p w14:paraId="7751366F" w14:textId="0ACD5D46" w:rsidR="0018318D" w:rsidRPr="0064765A" w:rsidRDefault="0064765A" w:rsidP="0064765A">
            <w:pPr>
              <w:jc w:val="center"/>
            </w:pPr>
            <w:r>
              <w:t>$##</w:t>
            </w:r>
          </w:p>
        </w:tc>
        <w:tc>
          <w:tcPr>
            <w:tcW w:w="1777" w:type="dxa"/>
            <w:vAlign w:val="center"/>
          </w:tcPr>
          <w:p w14:paraId="01A22D93" w14:textId="0E7E5305" w:rsidR="0018318D" w:rsidRPr="0064765A" w:rsidRDefault="0064765A" w:rsidP="0064765A">
            <w:pPr>
              <w:jc w:val="center"/>
            </w:pPr>
            <w:r>
              <w:t>%</w:t>
            </w:r>
          </w:p>
        </w:tc>
      </w:tr>
      <w:tr w:rsidR="0018318D" w14:paraId="2E7573B4" w14:textId="77777777" w:rsidTr="0064765A">
        <w:trPr>
          <w:trHeight w:val="720"/>
        </w:trPr>
        <w:tc>
          <w:tcPr>
            <w:tcW w:w="2245" w:type="dxa"/>
            <w:vAlign w:val="center"/>
          </w:tcPr>
          <w:p w14:paraId="3404FB47" w14:textId="3F282111" w:rsidR="0018318D" w:rsidRPr="0064765A" w:rsidRDefault="0064765A" w:rsidP="0064765A">
            <w:r>
              <w:t>Middle East and North Africa</w:t>
            </w:r>
          </w:p>
        </w:tc>
        <w:tc>
          <w:tcPr>
            <w:tcW w:w="1776" w:type="dxa"/>
            <w:vAlign w:val="center"/>
          </w:tcPr>
          <w:p w14:paraId="3E28922F" w14:textId="2DB06686" w:rsidR="0018318D" w:rsidRPr="0064765A" w:rsidRDefault="0064765A" w:rsidP="0064765A">
            <w:pPr>
              <w:jc w:val="center"/>
            </w:pPr>
            <w:r>
              <w:t>-##%</w:t>
            </w:r>
          </w:p>
        </w:tc>
        <w:tc>
          <w:tcPr>
            <w:tcW w:w="1776" w:type="dxa"/>
            <w:vAlign w:val="center"/>
          </w:tcPr>
          <w:p w14:paraId="357CE22D" w14:textId="6C845530" w:rsidR="0018318D" w:rsidRPr="0064765A" w:rsidRDefault="0064765A" w:rsidP="0064765A">
            <w:pPr>
              <w:jc w:val="center"/>
            </w:pPr>
            <w:r>
              <w:t>##</w:t>
            </w:r>
          </w:p>
        </w:tc>
        <w:tc>
          <w:tcPr>
            <w:tcW w:w="1776" w:type="dxa"/>
            <w:vAlign w:val="center"/>
          </w:tcPr>
          <w:p w14:paraId="12FDAEAB" w14:textId="037FEB39" w:rsidR="0018318D" w:rsidRPr="0064765A" w:rsidRDefault="0064765A" w:rsidP="0064765A">
            <w:pPr>
              <w:jc w:val="center"/>
            </w:pPr>
            <w:r>
              <w:t>$##</w:t>
            </w:r>
          </w:p>
        </w:tc>
        <w:tc>
          <w:tcPr>
            <w:tcW w:w="1777" w:type="dxa"/>
            <w:vAlign w:val="center"/>
          </w:tcPr>
          <w:p w14:paraId="29229330" w14:textId="1F43B186" w:rsidR="0018318D" w:rsidRPr="0064765A" w:rsidRDefault="0064765A" w:rsidP="0064765A">
            <w:pPr>
              <w:jc w:val="center"/>
            </w:pPr>
            <w:r>
              <w:t>%</w:t>
            </w:r>
          </w:p>
        </w:tc>
      </w:tr>
      <w:tr w:rsidR="0018318D" w14:paraId="3792241D" w14:textId="77777777" w:rsidTr="0064765A">
        <w:trPr>
          <w:trHeight w:val="720"/>
        </w:trPr>
        <w:tc>
          <w:tcPr>
            <w:tcW w:w="2245" w:type="dxa"/>
            <w:vAlign w:val="center"/>
          </w:tcPr>
          <w:p w14:paraId="6AE47D01" w14:textId="0475805F" w:rsidR="0018318D" w:rsidRPr="0064765A" w:rsidRDefault="0064765A" w:rsidP="0064765A">
            <w:r>
              <w:t>North Atlantic</w:t>
            </w:r>
          </w:p>
        </w:tc>
        <w:tc>
          <w:tcPr>
            <w:tcW w:w="1776" w:type="dxa"/>
            <w:vAlign w:val="center"/>
          </w:tcPr>
          <w:p w14:paraId="5A9C8D8B" w14:textId="6359FB9E" w:rsidR="0018318D" w:rsidRPr="0064765A" w:rsidRDefault="0064765A" w:rsidP="0064765A">
            <w:pPr>
              <w:jc w:val="center"/>
            </w:pPr>
            <w:r>
              <w:t>-##%</w:t>
            </w:r>
          </w:p>
        </w:tc>
        <w:tc>
          <w:tcPr>
            <w:tcW w:w="1776" w:type="dxa"/>
            <w:vAlign w:val="center"/>
          </w:tcPr>
          <w:p w14:paraId="42EEE2D7" w14:textId="2BC50F92" w:rsidR="0018318D" w:rsidRPr="0064765A" w:rsidRDefault="0064765A" w:rsidP="0064765A">
            <w:pPr>
              <w:jc w:val="center"/>
            </w:pPr>
            <w:r>
              <w:t>##</w:t>
            </w:r>
          </w:p>
        </w:tc>
        <w:tc>
          <w:tcPr>
            <w:tcW w:w="1776" w:type="dxa"/>
            <w:vAlign w:val="center"/>
          </w:tcPr>
          <w:p w14:paraId="618127AC" w14:textId="5D6FA44D" w:rsidR="0018318D" w:rsidRPr="0064765A" w:rsidRDefault="0064765A" w:rsidP="0064765A">
            <w:pPr>
              <w:jc w:val="center"/>
            </w:pPr>
            <w:r>
              <w:t>$##</w:t>
            </w:r>
          </w:p>
        </w:tc>
        <w:tc>
          <w:tcPr>
            <w:tcW w:w="1777" w:type="dxa"/>
            <w:vAlign w:val="center"/>
          </w:tcPr>
          <w:p w14:paraId="32DBDBF5" w14:textId="02FE18D5" w:rsidR="0018318D" w:rsidRPr="0064765A" w:rsidRDefault="0064765A" w:rsidP="0064765A">
            <w:pPr>
              <w:jc w:val="center"/>
            </w:pPr>
            <w:r>
              <w:t>%</w:t>
            </w:r>
          </w:p>
        </w:tc>
      </w:tr>
      <w:tr w:rsidR="0018318D" w14:paraId="6C670D8C" w14:textId="77777777" w:rsidTr="0064765A">
        <w:trPr>
          <w:trHeight w:val="720"/>
        </w:trPr>
        <w:tc>
          <w:tcPr>
            <w:tcW w:w="2245" w:type="dxa"/>
            <w:vAlign w:val="center"/>
          </w:tcPr>
          <w:p w14:paraId="7C804BC4" w14:textId="2D205A3C" w:rsidR="0018318D" w:rsidRPr="0064765A" w:rsidRDefault="0064765A" w:rsidP="0064765A">
            <w:r>
              <w:t>Sub-Saharan Africa</w:t>
            </w:r>
          </w:p>
        </w:tc>
        <w:tc>
          <w:tcPr>
            <w:tcW w:w="1776" w:type="dxa"/>
            <w:vAlign w:val="center"/>
          </w:tcPr>
          <w:p w14:paraId="60E7993C" w14:textId="0E16CD8B" w:rsidR="0018318D" w:rsidRPr="0064765A" w:rsidRDefault="0064765A" w:rsidP="0064765A">
            <w:pPr>
              <w:jc w:val="center"/>
            </w:pPr>
            <w:r>
              <w:t>-##%</w:t>
            </w:r>
          </w:p>
        </w:tc>
        <w:tc>
          <w:tcPr>
            <w:tcW w:w="1776" w:type="dxa"/>
            <w:vAlign w:val="center"/>
          </w:tcPr>
          <w:p w14:paraId="2FEE7687" w14:textId="41F314B4" w:rsidR="0018318D" w:rsidRPr="0064765A" w:rsidRDefault="0064765A" w:rsidP="0064765A">
            <w:pPr>
              <w:jc w:val="center"/>
            </w:pPr>
            <w:r>
              <w:t>##</w:t>
            </w:r>
          </w:p>
        </w:tc>
        <w:tc>
          <w:tcPr>
            <w:tcW w:w="1776" w:type="dxa"/>
            <w:vAlign w:val="center"/>
          </w:tcPr>
          <w:p w14:paraId="6A45E9D0" w14:textId="1EFEF976" w:rsidR="0018318D" w:rsidRPr="0064765A" w:rsidRDefault="0064765A" w:rsidP="0064765A">
            <w:pPr>
              <w:jc w:val="center"/>
            </w:pPr>
            <w:r>
              <w:t>$##</w:t>
            </w:r>
          </w:p>
        </w:tc>
        <w:tc>
          <w:tcPr>
            <w:tcW w:w="1777" w:type="dxa"/>
            <w:vAlign w:val="center"/>
          </w:tcPr>
          <w:p w14:paraId="1727C96D" w14:textId="690B4ADD" w:rsidR="0018318D" w:rsidRPr="0064765A" w:rsidRDefault="0064765A" w:rsidP="0064765A">
            <w:pPr>
              <w:jc w:val="center"/>
            </w:pPr>
            <w:r>
              <w:t>%</w:t>
            </w:r>
          </w:p>
        </w:tc>
      </w:tr>
      <w:tr w:rsidR="0018318D" w14:paraId="1A416E64" w14:textId="77777777" w:rsidTr="0064765A">
        <w:trPr>
          <w:trHeight w:val="720"/>
        </w:trPr>
        <w:tc>
          <w:tcPr>
            <w:tcW w:w="2245" w:type="dxa"/>
            <w:vAlign w:val="center"/>
          </w:tcPr>
          <w:p w14:paraId="487FA17B" w14:textId="2C5BA8D3" w:rsidR="0018318D" w:rsidRPr="0064765A" w:rsidRDefault="0064765A" w:rsidP="0064765A">
            <w:r>
              <w:t>Western Pacific and Southeast Asia</w:t>
            </w:r>
          </w:p>
        </w:tc>
        <w:tc>
          <w:tcPr>
            <w:tcW w:w="1776" w:type="dxa"/>
            <w:vAlign w:val="center"/>
          </w:tcPr>
          <w:p w14:paraId="6362BBA1" w14:textId="1BD80B9D" w:rsidR="0018318D" w:rsidRPr="0064765A" w:rsidRDefault="0064765A" w:rsidP="0064765A">
            <w:pPr>
              <w:jc w:val="center"/>
            </w:pPr>
            <w:r>
              <w:t>-##%</w:t>
            </w:r>
          </w:p>
        </w:tc>
        <w:tc>
          <w:tcPr>
            <w:tcW w:w="1776" w:type="dxa"/>
            <w:vAlign w:val="center"/>
          </w:tcPr>
          <w:p w14:paraId="5DC5086C" w14:textId="256E0DDE" w:rsidR="0018318D" w:rsidRPr="0064765A" w:rsidRDefault="0064765A" w:rsidP="0064765A">
            <w:pPr>
              <w:jc w:val="center"/>
            </w:pPr>
            <w:r>
              <w:t>##</w:t>
            </w:r>
          </w:p>
        </w:tc>
        <w:tc>
          <w:tcPr>
            <w:tcW w:w="1776" w:type="dxa"/>
            <w:vAlign w:val="center"/>
          </w:tcPr>
          <w:p w14:paraId="6AE0F784" w14:textId="36B4F564" w:rsidR="0018318D" w:rsidRPr="0064765A" w:rsidRDefault="0064765A" w:rsidP="0064765A">
            <w:pPr>
              <w:jc w:val="center"/>
            </w:pPr>
            <w:r>
              <w:t>$##</w:t>
            </w:r>
          </w:p>
        </w:tc>
        <w:tc>
          <w:tcPr>
            <w:tcW w:w="1777" w:type="dxa"/>
            <w:vAlign w:val="center"/>
          </w:tcPr>
          <w:p w14:paraId="53846C74" w14:textId="7143F5EC" w:rsidR="0018318D" w:rsidRPr="0064765A" w:rsidRDefault="0064765A" w:rsidP="0064765A">
            <w:pPr>
              <w:jc w:val="center"/>
            </w:pPr>
            <w:r>
              <w:t>%</w:t>
            </w:r>
          </w:p>
        </w:tc>
      </w:tr>
      <w:tr w:rsidR="0018318D" w14:paraId="5C2A6B8E" w14:textId="77777777" w:rsidTr="0064765A">
        <w:trPr>
          <w:trHeight w:val="720"/>
        </w:trPr>
        <w:tc>
          <w:tcPr>
            <w:tcW w:w="2245" w:type="dxa"/>
            <w:vAlign w:val="center"/>
          </w:tcPr>
          <w:p w14:paraId="29070E1C" w14:textId="194E621F" w:rsidR="0018318D" w:rsidRPr="0064765A" w:rsidRDefault="0064765A" w:rsidP="0064765A">
            <w:r>
              <w:t>USA</w:t>
            </w:r>
          </w:p>
        </w:tc>
        <w:tc>
          <w:tcPr>
            <w:tcW w:w="1776" w:type="dxa"/>
            <w:vAlign w:val="center"/>
          </w:tcPr>
          <w:p w14:paraId="0EB50BC3" w14:textId="4A424FC4" w:rsidR="0018318D" w:rsidRPr="0064765A" w:rsidRDefault="0064765A" w:rsidP="0064765A">
            <w:pPr>
              <w:jc w:val="center"/>
            </w:pPr>
            <w:r>
              <w:t>-##%</w:t>
            </w:r>
          </w:p>
        </w:tc>
        <w:tc>
          <w:tcPr>
            <w:tcW w:w="1776" w:type="dxa"/>
            <w:vAlign w:val="center"/>
          </w:tcPr>
          <w:p w14:paraId="5290E52C" w14:textId="0A16B446" w:rsidR="0018318D" w:rsidRPr="0064765A" w:rsidRDefault="0064765A" w:rsidP="0064765A">
            <w:pPr>
              <w:jc w:val="center"/>
            </w:pPr>
            <w:r>
              <w:t>##</w:t>
            </w:r>
          </w:p>
        </w:tc>
        <w:tc>
          <w:tcPr>
            <w:tcW w:w="1776" w:type="dxa"/>
            <w:vAlign w:val="center"/>
          </w:tcPr>
          <w:p w14:paraId="1BB49EB4" w14:textId="5736C8C8" w:rsidR="0018318D" w:rsidRPr="0064765A" w:rsidRDefault="0064765A" w:rsidP="0064765A">
            <w:pPr>
              <w:jc w:val="center"/>
            </w:pPr>
            <w:r>
              <w:t>$##</w:t>
            </w:r>
          </w:p>
        </w:tc>
        <w:tc>
          <w:tcPr>
            <w:tcW w:w="1777" w:type="dxa"/>
            <w:vAlign w:val="center"/>
          </w:tcPr>
          <w:p w14:paraId="7B39316F" w14:textId="573E5652" w:rsidR="0018318D" w:rsidRPr="0064765A" w:rsidRDefault="0064765A" w:rsidP="0064765A">
            <w:pPr>
              <w:jc w:val="center"/>
            </w:pPr>
            <w:r>
              <w:t>%</w:t>
            </w:r>
          </w:p>
        </w:tc>
      </w:tr>
    </w:tbl>
    <w:p w14:paraId="764825F3" w14:textId="6C0E7748" w:rsidR="0064765A" w:rsidRDefault="0064765A">
      <w:r w:rsidRPr="0064765A">
        <w:t>Note</w:t>
      </w:r>
      <w:r>
        <w:t xml:space="preserve">s: all costs are presented in constant 2023 US dollars. </w:t>
      </w:r>
    </w:p>
    <w:p w14:paraId="6A279CC5" w14:textId="77777777" w:rsidR="002A6255" w:rsidRDefault="002A6255"/>
    <w:p w14:paraId="569AEAC8" w14:textId="2870B3AF" w:rsidR="002A6255" w:rsidRDefault="002A6255">
      <w:r>
        <w:rPr>
          <w:noProof/>
        </w:rPr>
        <w:drawing>
          <wp:anchor distT="0" distB="0" distL="114300" distR="114300" simplePos="0" relativeHeight="251660288" behindDoc="0" locked="0" layoutInCell="1" allowOverlap="1" wp14:anchorId="68992F2D" wp14:editId="5FB85E13">
            <wp:simplePos x="0" y="0"/>
            <wp:positionH relativeFrom="column">
              <wp:posOffset>3479800</wp:posOffset>
            </wp:positionH>
            <wp:positionV relativeFrom="paragraph">
              <wp:posOffset>256540</wp:posOffset>
            </wp:positionV>
            <wp:extent cx="2838450" cy="2127885"/>
            <wp:effectExtent l="0" t="318" r="6033" b="6032"/>
            <wp:wrapSquare wrapText="bothSides"/>
            <wp:docPr id="1811622267" name="Picture 3" descr="A whiteboard with graph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2267" name="Picture 3" descr="A whiteboard with graph drawn on i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838450" cy="2127885"/>
                    </a:xfrm>
                    <a:prstGeom prst="rect">
                      <a:avLst/>
                    </a:prstGeom>
                  </pic:spPr>
                </pic:pic>
              </a:graphicData>
            </a:graphic>
            <wp14:sizeRelH relativeFrom="page">
              <wp14:pctWidth>0</wp14:pctWidth>
            </wp14:sizeRelH>
            <wp14:sizeRelV relativeFrom="page">
              <wp14:pctHeight>0</wp14:pctHeight>
            </wp14:sizeRelV>
          </wp:anchor>
        </w:drawing>
      </w:r>
    </w:p>
    <w:p w14:paraId="7C84EB73" w14:textId="553D890F" w:rsidR="002A6255" w:rsidRDefault="002A6255">
      <w:r w:rsidRPr="00D435EC">
        <w:rPr>
          <w:b/>
          <w:bCs/>
        </w:rPr>
        <w:t>Figure Z.</w:t>
      </w:r>
      <w:r>
        <w:t xml:space="preserve"> Contribution of different conditions to reductions in 70q0 and achievement of the 50x50 target. The lengths of the bars indicate the overall reduction in 70q0 by 2050 (relative to 2019) with full implementation of priority interventions. The colors indicate the shares of that reduction due to the 15 different priority conditions. (NB Will: I only show 2 colors here, but you get the idea. We can do this with 15 different colors I hope.)</w:t>
      </w:r>
    </w:p>
    <w:p w14:paraId="2B896F6B" w14:textId="77777777" w:rsidR="002A6255" w:rsidRDefault="002A6255"/>
    <w:p w14:paraId="3075ADAF" w14:textId="77777777" w:rsidR="002A6255" w:rsidRDefault="002A6255"/>
    <w:p w14:paraId="44CE5539" w14:textId="1019EA01" w:rsidR="002A6255" w:rsidRDefault="002A6255">
      <w:r w:rsidRPr="00D435EC">
        <w:rPr>
          <w:b/>
          <w:bCs/>
        </w:rPr>
        <w:lastRenderedPageBreak/>
        <w:t>Table B.</w:t>
      </w:r>
      <w:r>
        <w:t xml:space="preserve"> Findings from scenario analysis on family planning.</w:t>
      </w:r>
    </w:p>
    <w:tbl>
      <w:tblPr>
        <w:tblStyle w:val="TableGrid"/>
        <w:tblW w:w="0" w:type="auto"/>
        <w:tblLayout w:type="fixed"/>
        <w:tblLook w:val="04A0" w:firstRow="1" w:lastRow="0" w:firstColumn="1" w:lastColumn="0" w:noHBand="0" w:noVBand="1"/>
      </w:tblPr>
      <w:tblGrid>
        <w:gridCol w:w="2008"/>
        <w:gridCol w:w="1223"/>
        <w:gridCol w:w="1224"/>
        <w:gridCol w:w="1224"/>
        <w:gridCol w:w="1223"/>
        <w:gridCol w:w="1224"/>
        <w:gridCol w:w="1224"/>
      </w:tblGrid>
      <w:tr w:rsidR="00D435EC" w14:paraId="1D8D9CA1" w14:textId="77777777" w:rsidTr="00D435EC">
        <w:tc>
          <w:tcPr>
            <w:tcW w:w="2008" w:type="dxa"/>
            <w:vMerge w:val="restart"/>
            <w:vAlign w:val="center"/>
          </w:tcPr>
          <w:p w14:paraId="74334A36" w14:textId="1FF0E9E2" w:rsidR="00D435EC" w:rsidRPr="00D435EC" w:rsidRDefault="00D435EC" w:rsidP="00D435EC">
            <w:pPr>
              <w:rPr>
                <w:b/>
                <w:bCs/>
              </w:rPr>
            </w:pPr>
            <w:r w:rsidRPr="00D435EC">
              <w:rPr>
                <w:b/>
                <w:bCs/>
              </w:rPr>
              <w:t>Indicator</w:t>
            </w:r>
          </w:p>
        </w:tc>
        <w:tc>
          <w:tcPr>
            <w:tcW w:w="3671" w:type="dxa"/>
            <w:gridSpan w:val="3"/>
            <w:vAlign w:val="center"/>
          </w:tcPr>
          <w:p w14:paraId="2F57FCD9" w14:textId="578F0D21" w:rsidR="00D435EC" w:rsidRPr="00D435EC" w:rsidRDefault="00D435EC" w:rsidP="00D435EC">
            <w:pPr>
              <w:jc w:val="center"/>
              <w:rPr>
                <w:b/>
                <w:bCs/>
              </w:rPr>
            </w:pPr>
            <w:r w:rsidRPr="00D435EC">
              <w:rPr>
                <w:b/>
                <w:bCs/>
              </w:rPr>
              <w:t>Higher-fertility regions</w:t>
            </w:r>
          </w:p>
        </w:tc>
        <w:tc>
          <w:tcPr>
            <w:tcW w:w="3671" w:type="dxa"/>
            <w:gridSpan w:val="3"/>
            <w:vAlign w:val="center"/>
          </w:tcPr>
          <w:p w14:paraId="5C9364C4" w14:textId="3817ADF1" w:rsidR="00D435EC" w:rsidRPr="00D435EC" w:rsidRDefault="00D435EC" w:rsidP="00D435EC">
            <w:pPr>
              <w:jc w:val="center"/>
              <w:rPr>
                <w:b/>
                <w:bCs/>
              </w:rPr>
            </w:pPr>
            <w:r w:rsidRPr="00D435EC">
              <w:rPr>
                <w:b/>
                <w:bCs/>
              </w:rPr>
              <w:t>Lower-fertility regions</w:t>
            </w:r>
          </w:p>
        </w:tc>
      </w:tr>
      <w:tr w:rsidR="00D435EC" w14:paraId="7BC0CB62" w14:textId="77777777" w:rsidTr="00D435EC">
        <w:tc>
          <w:tcPr>
            <w:tcW w:w="2008" w:type="dxa"/>
            <w:vMerge/>
            <w:vAlign w:val="center"/>
          </w:tcPr>
          <w:p w14:paraId="67ADCD57" w14:textId="77777777" w:rsidR="00D435EC" w:rsidRPr="00D435EC" w:rsidRDefault="00D435EC" w:rsidP="00D435EC">
            <w:pPr>
              <w:rPr>
                <w:b/>
                <w:bCs/>
              </w:rPr>
            </w:pPr>
          </w:p>
        </w:tc>
        <w:tc>
          <w:tcPr>
            <w:tcW w:w="1223" w:type="dxa"/>
            <w:vAlign w:val="center"/>
          </w:tcPr>
          <w:p w14:paraId="11AB6A29" w14:textId="288BF8CE" w:rsidR="00D435EC" w:rsidRPr="00D435EC" w:rsidRDefault="00D435EC" w:rsidP="00D435EC">
            <w:pPr>
              <w:jc w:val="center"/>
              <w:rPr>
                <w:b/>
                <w:bCs/>
              </w:rPr>
            </w:pPr>
            <w:r w:rsidRPr="00D435EC">
              <w:rPr>
                <w:b/>
                <w:bCs/>
              </w:rPr>
              <w:t>Worse</w:t>
            </w:r>
          </w:p>
        </w:tc>
        <w:tc>
          <w:tcPr>
            <w:tcW w:w="1224" w:type="dxa"/>
            <w:vAlign w:val="center"/>
          </w:tcPr>
          <w:p w14:paraId="78145B6B" w14:textId="1F210DBA" w:rsidR="00D435EC" w:rsidRPr="00D435EC" w:rsidRDefault="00D435EC" w:rsidP="00D435EC">
            <w:pPr>
              <w:jc w:val="center"/>
              <w:rPr>
                <w:b/>
                <w:bCs/>
              </w:rPr>
            </w:pPr>
            <w:r>
              <w:rPr>
                <w:b/>
                <w:bCs/>
              </w:rPr>
              <w:t>Base case</w:t>
            </w:r>
          </w:p>
        </w:tc>
        <w:tc>
          <w:tcPr>
            <w:tcW w:w="1224" w:type="dxa"/>
            <w:vAlign w:val="center"/>
          </w:tcPr>
          <w:p w14:paraId="4003FE60" w14:textId="5C90BB9C" w:rsidR="00D435EC" w:rsidRPr="00D435EC" w:rsidRDefault="00D435EC" w:rsidP="00D435EC">
            <w:pPr>
              <w:jc w:val="center"/>
              <w:rPr>
                <w:b/>
                <w:bCs/>
              </w:rPr>
            </w:pPr>
            <w:r w:rsidRPr="00D435EC">
              <w:rPr>
                <w:b/>
                <w:bCs/>
              </w:rPr>
              <w:t>Better</w:t>
            </w:r>
          </w:p>
        </w:tc>
        <w:tc>
          <w:tcPr>
            <w:tcW w:w="1223" w:type="dxa"/>
            <w:vAlign w:val="center"/>
          </w:tcPr>
          <w:p w14:paraId="74426EEE" w14:textId="49E43CDB" w:rsidR="00D435EC" w:rsidRPr="00D435EC" w:rsidRDefault="00D435EC" w:rsidP="00D435EC">
            <w:pPr>
              <w:jc w:val="center"/>
              <w:rPr>
                <w:b/>
                <w:bCs/>
              </w:rPr>
            </w:pPr>
            <w:r w:rsidRPr="00D435EC">
              <w:rPr>
                <w:b/>
                <w:bCs/>
              </w:rPr>
              <w:t>Worse</w:t>
            </w:r>
          </w:p>
        </w:tc>
        <w:tc>
          <w:tcPr>
            <w:tcW w:w="1224" w:type="dxa"/>
            <w:vAlign w:val="center"/>
          </w:tcPr>
          <w:p w14:paraId="33A69A4C" w14:textId="09B3D771" w:rsidR="00D435EC" w:rsidRPr="00D435EC" w:rsidRDefault="00D435EC" w:rsidP="00D435EC">
            <w:pPr>
              <w:jc w:val="center"/>
              <w:rPr>
                <w:b/>
                <w:bCs/>
              </w:rPr>
            </w:pPr>
            <w:r>
              <w:rPr>
                <w:b/>
                <w:bCs/>
              </w:rPr>
              <w:t>Base case</w:t>
            </w:r>
          </w:p>
        </w:tc>
        <w:tc>
          <w:tcPr>
            <w:tcW w:w="1224" w:type="dxa"/>
            <w:vAlign w:val="center"/>
          </w:tcPr>
          <w:p w14:paraId="197A1693" w14:textId="0B8B8A9C" w:rsidR="00D435EC" w:rsidRPr="00D435EC" w:rsidRDefault="00D435EC" w:rsidP="00D435EC">
            <w:pPr>
              <w:jc w:val="center"/>
              <w:rPr>
                <w:b/>
                <w:bCs/>
              </w:rPr>
            </w:pPr>
            <w:r w:rsidRPr="00D435EC">
              <w:rPr>
                <w:b/>
                <w:bCs/>
              </w:rPr>
              <w:t>Better</w:t>
            </w:r>
          </w:p>
        </w:tc>
      </w:tr>
      <w:tr w:rsidR="00D435EC" w14:paraId="6378AA6C" w14:textId="77777777" w:rsidTr="00D435EC">
        <w:trPr>
          <w:trHeight w:val="1008"/>
        </w:trPr>
        <w:tc>
          <w:tcPr>
            <w:tcW w:w="2008" w:type="dxa"/>
            <w:vAlign w:val="center"/>
          </w:tcPr>
          <w:p w14:paraId="2E476178" w14:textId="14E993AF" w:rsidR="00D435EC" w:rsidRDefault="00D435EC" w:rsidP="00D435EC">
            <w:r>
              <w:t>Change in total population</w:t>
            </w:r>
          </w:p>
        </w:tc>
        <w:tc>
          <w:tcPr>
            <w:tcW w:w="1223" w:type="dxa"/>
            <w:vAlign w:val="center"/>
          </w:tcPr>
          <w:p w14:paraId="0372FD9B" w14:textId="77777777" w:rsidR="00D435EC" w:rsidRDefault="00D435EC" w:rsidP="00D435EC">
            <w:pPr>
              <w:jc w:val="center"/>
            </w:pPr>
          </w:p>
        </w:tc>
        <w:tc>
          <w:tcPr>
            <w:tcW w:w="1224" w:type="dxa"/>
            <w:vAlign w:val="center"/>
          </w:tcPr>
          <w:p w14:paraId="6D77E1F2" w14:textId="77777777" w:rsidR="00D435EC" w:rsidRDefault="00D435EC" w:rsidP="00D435EC">
            <w:pPr>
              <w:jc w:val="center"/>
            </w:pPr>
          </w:p>
        </w:tc>
        <w:tc>
          <w:tcPr>
            <w:tcW w:w="1224" w:type="dxa"/>
            <w:vAlign w:val="center"/>
          </w:tcPr>
          <w:p w14:paraId="2B23FB6C" w14:textId="77777777" w:rsidR="00D435EC" w:rsidRDefault="00D435EC" w:rsidP="00D435EC">
            <w:pPr>
              <w:jc w:val="center"/>
            </w:pPr>
          </w:p>
        </w:tc>
        <w:tc>
          <w:tcPr>
            <w:tcW w:w="1223" w:type="dxa"/>
            <w:vAlign w:val="center"/>
          </w:tcPr>
          <w:p w14:paraId="1E71377A" w14:textId="77777777" w:rsidR="00D435EC" w:rsidRDefault="00D435EC" w:rsidP="00D435EC">
            <w:pPr>
              <w:jc w:val="center"/>
            </w:pPr>
          </w:p>
        </w:tc>
        <w:tc>
          <w:tcPr>
            <w:tcW w:w="1224" w:type="dxa"/>
            <w:vAlign w:val="center"/>
          </w:tcPr>
          <w:p w14:paraId="786A039B" w14:textId="77777777" w:rsidR="00D435EC" w:rsidRDefault="00D435EC" w:rsidP="00D435EC">
            <w:pPr>
              <w:jc w:val="center"/>
            </w:pPr>
          </w:p>
        </w:tc>
        <w:tc>
          <w:tcPr>
            <w:tcW w:w="1224" w:type="dxa"/>
            <w:vAlign w:val="center"/>
          </w:tcPr>
          <w:p w14:paraId="16194BAB" w14:textId="77777777" w:rsidR="00D435EC" w:rsidRDefault="00D435EC" w:rsidP="00D435EC">
            <w:pPr>
              <w:jc w:val="center"/>
            </w:pPr>
          </w:p>
        </w:tc>
      </w:tr>
      <w:tr w:rsidR="00D435EC" w14:paraId="7A296239" w14:textId="77777777" w:rsidTr="00D435EC">
        <w:trPr>
          <w:trHeight w:val="1008"/>
        </w:trPr>
        <w:tc>
          <w:tcPr>
            <w:tcW w:w="2008" w:type="dxa"/>
            <w:vAlign w:val="center"/>
          </w:tcPr>
          <w:p w14:paraId="272EE021" w14:textId="5F2D7CBF" w:rsidR="00D435EC" w:rsidRDefault="00D435EC" w:rsidP="00D435EC">
            <w:r>
              <w:t>Change in total deaths</w:t>
            </w:r>
          </w:p>
        </w:tc>
        <w:tc>
          <w:tcPr>
            <w:tcW w:w="1223" w:type="dxa"/>
            <w:vAlign w:val="center"/>
          </w:tcPr>
          <w:p w14:paraId="4C59253C" w14:textId="77777777" w:rsidR="00D435EC" w:rsidRDefault="00D435EC" w:rsidP="00D435EC">
            <w:pPr>
              <w:jc w:val="center"/>
            </w:pPr>
          </w:p>
        </w:tc>
        <w:tc>
          <w:tcPr>
            <w:tcW w:w="1224" w:type="dxa"/>
            <w:vAlign w:val="center"/>
          </w:tcPr>
          <w:p w14:paraId="12F64112" w14:textId="77777777" w:rsidR="00D435EC" w:rsidRDefault="00D435EC" w:rsidP="00D435EC">
            <w:pPr>
              <w:jc w:val="center"/>
            </w:pPr>
          </w:p>
        </w:tc>
        <w:tc>
          <w:tcPr>
            <w:tcW w:w="1224" w:type="dxa"/>
            <w:vAlign w:val="center"/>
          </w:tcPr>
          <w:p w14:paraId="0C2B13F4" w14:textId="77777777" w:rsidR="00D435EC" w:rsidRDefault="00D435EC" w:rsidP="00D435EC">
            <w:pPr>
              <w:jc w:val="center"/>
            </w:pPr>
          </w:p>
        </w:tc>
        <w:tc>
          <w:tcPr>
            <w:tcW w:w="1223" w:type="dxa"/>
            <w:vAlign w:val="center"/>
          </w:tcPr>
          <w:p w14:paraId="6BA924E5" w14:textId="77777777" w:rsidR="00D435EC" w:rsidRDefault="00D435EC" w:rsidP="00D435EC">
            <w:pPr>
              <w:jc w:val="center"/>
            </w:pPr>
          </w:p>
        </w:tc>
        <w:tc>
          <w:tcPr>
            <w:tcW w:w="1224" w:type="dxa"/>
            <w:vAlign w:val="center"/>
          </w:tcPr>
          <w:p w14:paraId="52F95A4E" w14:textId="77777777" w:rsidR="00D435EC" w:rsidRDefault="00D435EC" w:rsidP="00D435EC">
            <w:pPr>
              <w:jc w:val="center"/>
            </w:pPr>
          </w:p>
        </w:tc>
        <w:tc>
          <w:tcPr>
            <w:tcW w:w="1224" w:type="dxa"/>
            <w:vAlign w:val="center"/>
          </w:tcPr>
          <w:p w14:paraId="430A3894" w14:textId="77777777" w:rsidR="00D435EC" w:rsidRDefault="00D435EC" w:rsidP="00D435EC">
            <w:pPr>
              <w:jc w:val="center"/>
            </w:pPr>
          </w:p>
        </w:tc>
      </w:tr>
      <w:tr w:rsidR="00D435EC" w14:paraId="7C65D7FB" w14:textId="77777777" w:rsidTr="00D435EC">
        <w:trPr>
          <w:trHeight w:val="1008"/>
        </w:trPr>
        <w:tc>
          <w:tcPr>
            <w:tcW w:w="2008" w:type="dxa"/>
            <w:vAlign w:val="center"/>
          </w:tcPr>
          <w:p w14:paraId="20AA2A75" w14:textId="767E1D0D" w:rsidR="00D435EC" w:rsidRDefault="00D435EC" w:rsidP="00D435EC">
            <w:r>
              <w:t>Change in CDR</w:t>
            </w:r>
          </w:p>
        </w:tc>
        <w:tc>
          <w:tcPr>
            <w:tcW w:w="1223" w:type="dxa"/>
            <w:vAlign w:val="center"/>
          </w:tcPr>
          <w:p w14:paraId="3B2B86D2" w14:textId="77777777" w:rsidR="00D435EC" w:rsidRDefault="00D435EC" w:rsidP="00D435EC">
            <w:pPr>
              <w:jc w:val="center"/>
            </w:pPr>
          </w:p>
        </w:tc>
        <w:tc>
          <w:tcPr>
            <w:tcW w:w="1224" w:type="dxa"/>
            <w:vAlign w:val="center"/>
          </w:tcPr>
          <w:p w14:paraId="0FE00899" w14:textId="77777777" w:rsidR="00D435EC" w:rsidRDefault="00D435EC" w:rsidP="00D435EC">
            <w:pPr>
              <w:jc w:val="center"/>
            </w:pPr>
          </w:p>
        </w:tc>
        <w:tc>
          <w:tcPr>
            <w:tcW w:w="1224" w:type="dxa"/>
            <w:vAlign w:val="center"/>
          </w:tcPr>
          <w:p w14:paraId="20B6950C" w14:textId="77777777" w:rsidR="00D435EC" w:rsidRDefault="00D435EC" w:rsidP="00D435EC">
            <w:pPr>
              <w:jc w:val="center"/>
            </w:pPr>
          </w:p>
        </w:tc>
        <w:tc>
          <w:tcPr>
            <w:tcW w:w="1223" w:type="dxa"/>
            <w:vAlign w:val="center"/>
          </w:tcPr>
          <w:p w14:paraId="1780C16F" w14:textId="77777777" w:rsidR="00D435EC" w:rsidRDefault="00D435EC" w:rsidP="00D435EC">
            <w:pPr>
              <w:jc w:val="center"/>
            </w:pPr>
          </w:p>
        </w:tc>
        <w:tc>
          <w:tcPr>
            <w:tcW w:w="1224" w:type="dxa"/>
            <w:vAlign w:val="center"/>
          </w:tcPr>
          <w:p w14:paraId="41896B28" w14:textId="77777777" w:rsidR="00D435EC" w:rsidRDefault="00D435EC" w:rsidP="00D435EC">
            <w:pPr>
              <w:jc w:val="center"/>
            </w:pPr>
          </w:p>
        </w:tc>
        <w:tc>
          <w:tcPr>
            <w:tcW w:w="1224" w:type="dxa"/>
            <w:vAlign w:val="center"/>
          </w:tcPr>
          <w:p w14:paraId="4FE0C156" w14:textId="77777777" w:rsidR="00D435EC" w:rsidRDefault="00D435EC" w:rsidP="00D435EC">
            <w:pPr>
              <w:jc w:val="center"/>
            </w:pPr>
          </w:p>
        </w:tc>
      </w:tr>
      <w:tr w:rsidR="00D435EC" w14:paraId="426AE179" w14:textId="77777777" w:rsidTr="00D435EC">
        <w:trPr>
          <w:trHeight w:val="1008"/>
        </w:trPr>
        <w:tc>
          <w:tcPr>
            <w:tcW w:w="2008" w:type="dxa"/>
            <w:vAlign w:val="center"/>
          </w:tcPr>
          <w:p w14:paraId="6A1BACEB" w14:textId="2E6BBEA9" w:rsidR="00D435EC" w:rsidRDefault="00D435EC" w:rsidP="00D435EC">
            <w:r>
              <w:t>Change in working-age population</w:t>
            </w:r>
          </w:p>
        </w:tc>
        <w:tc>
          <w:tcPr>
            <w:tcW w:w="1223" w:type="dxa"/>
            <w:vAlign w:val="center"/>
          </w:tcPr>
          <w:p w14:paraId="42C5B393" w14:textId="77777777" w:rsidR="00D435EC" w:rsidRDefault="00D435EC" w:rsidP="00D435EC">
            <w:pPr>
              <w:jc w:val="center"/>
            </w:pPr>
          </w:p>
        </w:tc>
        <w:tc>
          <w:tcPr>
            <w:tcW w:w="1224" w:type="dxa"/>
            <w:vAlign w:val="center"/>
          </w:tcPr>
          <w:p w14:paraId="3586E013" w14:textId="77777777" w:rsidR="00D435EC" w:rsidRDefault="00D435EC" w:rsidP="00D435EC">
            <w:pPr>
              <w:jc w:val="center"/>
            </w:pPr>
          </w:p>
        </w:tc>
        <w:tc>
          <w:tcPr>
            <w:tcW w:w="1224" w:type="dxa"/>
            <w:vAlign w:val="center"/>
          </w:tcPr>
          <w:p w14:paraId="124F124B" w14:textId="77777777" w:rsidR="00D435EC" w:rsidRDefault="00D435EC" w:rsidP="00D435EC">
            <w:pPr>
              <w:jc w:val="center"/>
            </w:pPr>
          </w:p>
        </w:tc>
        <w:tc>
          <w:tcPr>
            <w:tcW w:w="1223" w:type="dxa"/>
            <w:vAlign w:val="center"/>
          </w:tcPr>
          <w:p w14:paraId="7E7D9578" w14:textId="77777777" w:rsidR="00D435EC" w:rsidRDefault="00D435EC" w:rsidP="00D435EC">
            <w:pPr>
              <w:jc w:val="center"/>
            </w:pPr>
          </w:p>
        </w:tc>
        <w:tc>
          <w:tcPr>
            <w:tcW w:w="1224" w:type="dxa"/>
            <w:vAlign w:val="center"/>
          </w:tcPr>
          <w:p w14:paraId="32DC0EB6" w14:textId="77777777" w:rsidR="00D435EC" w:rsidRDefault="00D435EC" w:rsidP="00D435EC">
            <w:pPr>
              <w:jc w:val="center"/>
            </w:pPr>
          </w:p>
        </w:tc>
        <w:tc>
          <w:tcPr>
            <w:tcW w:w="1224" w:type="dxa"/>
            <w:vAlign w:val="center"/>
          </w:tcPr>
          <w:p w14:paraId="3F2D282B" w14:textId="77777777" w:rsidR="00D435EC" w:rsidRDefault="00D435EC" w:rsidP="00D435EC">
            <w:pPr>
              <w:jc w:val="center"/>
            </w:pPr>
          </w:p>
        </w:tc>
      </w:tr>
      <w:tr w:rsidR="00D435EC" w14:paraId="76280532" w14:textId="77777777" w:rsidTr="00D435EC">
        <w:trPr>
          <w:trHeight w:val="1008"/>
        </w:trPr>
        <w:tc>
          <w:tcPr>
            <w:tcW w:w="2008" w:type="dxa"/>
            <w:vAlign w:val="center"/>
          </w:tcPr>
          <w:p w14:paraId="1958AF5C" w14:textId="78494868" w:rsidR="00D435EC" w:rsidRDefault="00D435EC" w:rsidP="00D435EC">
            <w:r>
              <w:t>Change in CDR*</w:t>
            </w:r>
          </w:p>
        </w:tc>
        <w:tc>
          <w:tcPr>
            <w:tcW w:w="1223" w:type="dxa"/>
            <w:vAlign w:val="center"/>
          </w:tcPr>
          <w:p w14:paraId="7A4C0C13" w14:textId="77777777" w:rsidR="00D435EC" w:rsidRDefault="00D435EC" w:rsidP="00D435EC">
            <w:pPr>
              <w:jc w:val="center"/>
            </w:pPr>
          </w:p>
        </w:tc>
        <w:tc>
          <w:tcPr>
            <w:tcW w:w="1224" w:type="dxa"/>
            <w:vAlign w:val="center"/>
          </w:tcPr>
          <w:p w14:paraId="527822D2" w14:textId="77777777" w:rsidR="00D435EC" w:rsidRDefault="00D435EC" w:rsidP="00D435EC">
            <w:pPr>
              <w:jc w:val="center"/>
            </w:pPr>
          </w:p>
        </w:tc>
        <w:tc>
          <w:tcPr>
            <w:tcW w:w="1224" w:type="dxa"/>
            <w:vAlign w:val="center"/>
          </w:tcPr>
          <w:p w14:paraId="65DCBE1C" w14:textId="77777777" w:rsidR="00D435EC" w:rsidRDefault="00D435EC" w:rsidP="00D435EC">
            <w:pPr>
              <w:jc w:val="center"/>
            </w:pPr>
          </w:p>
        </w:tc>
        <w:tc>
          <w:tcPr>
            <w:tcW w:w="1223" w:type="dxa"/>
            <w:vAlign w:val="center"/>
          </w:tcPr>
          <w:p w14:paraId="6076209F" w14:textId="77777777" w:rsidR="00D435EC" w:rsidRDefault="00D435EC" w:rsidP="00D435EC">
            <w:pPr>
              <w:jc w:val="center"/>
            </w:pPr>
          </w:p>
        </w:tc>
        <w:tc>
          <w:tcPr>
            <w:tcW w:w="1224" w:type="dxa"/>
            <w:vAlign w:val="center"/>
          </w:tcPr>
          <w:p w14:paraId="2ECE558B" w14:textId="77777777" w:rsidR="00D435EC" w:rsidRDefault="00D435EC" w:rsidP="00D435EC">
            <w:pPr>
              <w:jc w:val="center"/>
            </w:pPr>
          </w:p>
        </w:tc>
        <w:tc>
          <w:tcPr>
            <w:tcW w:w="1224" w:type="dxa"/>
            <w:vAlign w:val="center"/>
          </w:tcPr>
          <w:p w14:paraId="3CB490E9" w14:textId="77777777" w:rsidR="00D435EC" w:rsidRDefault="00D435EC" w:rsidP="00D435EC">
            <w:pPr>
              <w:jc w:val="center"/>
            </w:pPr>
          </w:p>
        </w:tc>
      </w:tr>
      <w:tr w:rsidR="00D435EC" w14:paraId="062CEADF" w14:textId="77777777" w:rsidTr="00D435EC">
        <w:trPr>
          <w:trHeight w:val="1008"/>
        </w:trPr>
        <w:tc>
          <w:tcPr>
            <w:tcW w:w="2008" w:type="dxa"/>
            <w:vAlign w:val="center"/>
          </w:tcPr>
          <w:p w14:paraId="785C4519" w14:textId="39428A77" w:rsidR="00D435EC" w:rsidRDefault="00D435EC" w:rsidP="00D435EC">
            <w:r>
              <w:t>Change in old-age dependency ratio</w:t>
            </w:r>
          </w:p>
        </w:tc>
        <w:tc>
          <w:tcPr>
            <w:tcW w:w="1223" w:type="dxa"/>
            <w:vAlign w:val="center"/>
          </w:tcPr>
          <w:p w14:paraId="06D3CCB1" w14:textId="77777777" w:rsidR="00D435EC" w:rsidRDefault="00D435EC" w:rsidP="00D435EC">
            <w:pPr>
              <w:jc w:val="center"/>
            </w:pPr>
          </w:p>
        </w:tc>
        <w:tc>
          <w:tcPr>
            <w:tcW w:w="1224" w:type="dxa"/>
            <w:vAlign w:val="center"/>
          </w:tcPr>
          <w:p w14:paraId="0660587A" w14:textId="77777777" w:rsidR="00D435EC" w:rsidRDefault="00D435EC" w:rsidP="00D435EC">
            <w:pPr>
              <w:jc w:val="center"/>
            </w:pPr>
          </w:p>
        </w:tc>
        <w:tc>
          <w:tcPr>
            <w:tcW w:w="1224" w:type="dxa"/>
            <w:vAlign w:val="center"/>
          </w:tcPr>
          <w:p w14:paraId="392F004F" w14:textId="77777777" w:rsidR="00D435EC" w:rsidRDefault="00D435EC" w:rsidP="00D435EC">
            <w:pPr>
              <w:jc w:val="center"/>
            </w:pPr>
          </w:p>
        </w:tc>
        <w:tc>
          <w:tcPr>
            <w:tcW w:w="1223" w:type="dxa"/>
            <w:vAlign w:val="center"/>
          </w:tcPr>
          <w:p w14:paraId="5B2BB52F" w14:textId="77777777" w:rsidR="00D435EC" w:rsidRDefault="00D435EC" w:rsidP="00D435EC">
            <w:pPr>
              <w:jc w:val="center"/>
            </w:pPr>
          </w:p>
        </w:tc>
        <w:tc>
          <w:tcPr>
            <w:tcW w:w="1224" w:type="dxa"/>
            <w:vAlign w:val="center"/>
          </w:tcPr>
          <w:p w14:paraId="36D2A7CA" w14:textId="77777777" w:rsidR="00D435EC" w:rsidRDefault="00D435EC" w:rsidP="00D435EC">
            <w:pPr>
              <w:jc w:val="center"/>
            </w:pPr>
          </w:p>
        </w:tc>
        <w:tc>
          <w:tcPr>
            <w:tcW w:w="1224" w:type="dxa"/>
            <w:vAlign w:val="center"/>
          </w:tcPr>
          <w:p w14:paraId="4A7BB072" w14:textId="77777777" w:rsidR="00D435EC" w:rsidRDefault="00D435EC" w:rsidP="00D435EC">
            <w:pPr>
              <w:jc w:val="center"/>
            </w:pPr>
          </w:p>
        </w:tc>
      </w:tr>
    </w:tbl>
    <w:p w14:paraId="31C428D1" w14:textId="407A06F9" w:rsidR="002A6255" w:rsidRDefault="00D435EC">
      <w:r>
        <w:t>Notes: “Higher-fertility regions” are defined as regions that had a TFR of #.# or higher in 2019; these were sub-Saharan Africa, ###, and ###. (NB: Will we should discuss how to group or whether just to separate SSA from the other regions.) The other # regions are grouped into “lower-fertility regions” category. The “base case” scenario, which we use throughout the rest of this paper, assumes secular trends in age-specific fertility rates 2010-2019 continue through 2050. The worse scenario assumes rates remain at 2019 levels. The better scenario assumes full met need for family planning by 2050. (Data on unmet need for family planning come from the Guttmacher Institute.) CDR = crude death rate per 1000 population; CDR* = crude death rate per 1000 working-age population.</w:t>
      </w:r>
    </w:p>
    <w:p w14:paraId="58B76B44" w14:textId="79B7A2B3" w:rsidR="002A6255" w:rsidRDefault="002A6255"/>
    <w:p w14:paraId="658671C3" w14:textId="77777777" w:rsidR="002A6255" w:rsidRDefault="002A6255"/>
    <w:p w14:paraId="3ADEA9D7" w14:textId="3AA84C5D" w:rsidR="001656B4" w:rsidRPr="0064765A" w:rsidRDefault="002A6255">
      <w:r>
        <w:t xml:space="preserve"> </w:t>
      </w:r>
      <w:r w:rsidR="001656B4" w:rsidRPr="0064765A">
        <w:br w:type="page"/>
      </w:r>
    </w:p>
    <w:p w14:paraId="08DB1A8B" w14:textId="37E67CC8" w:rsidR="001B1EB9" w:rsidRPr="001B1EB9" w:rsidRDefault="00935C82" w:rsidP="001B1EB9">
      <w:pPr>
        <w:rPr>
          <w:b/>
          <w:bCs/>
        </w:rPr>
      </w:pPr>
      <w:r>
        <w:rPr>
          <w:b/>
          <w:bCs/>
        </w:rPr>
        <w:lastRenderedPageBreak/>
        <w:t>Additional information from CIH report</w:t>
      </w:r>
    </w:p>
    <w:p w14:paraId="0750DF22" w14:textId="58D919BF" w:rsidR="001B1EB9" w:rsidRDefault="001B1EB9" w:rsidP="001B1EB9">
      <w:r w:rsidRPr="001B1EB9">
        <w:rPr>
          <w:noProof/>
        </w:rPr>
        <w:drawing>
          <wp:inline distT="0" distB="0" distL="0" distR="0" wp14:anchorId="1BBD9F3D" wp14:editId="39ACF575">
            <wp:extent cx="2440692" cy="4572000"/>
            <wp:effectExtent l="0" t="0" r="0" b="0"/>
            <wp:docPr id="925274585"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74585" name="Picture 1" descr="A close-up of a text&#10;&#10;Description automatically generated"/>
                    <pic:cNvPicPr/>
                  </pic:nvPicPr>
                  <pic:blipFill>
                    <a:blip r:embed="rId10"/>
                    <a:stretch>
                      <a:fillRect/>
                    </a:stretch>
                  </pic:blipFill>
                  <pic:spPr>
                    <a:xfrm>
                      <a:off x="0" y="0"/>
                      <a:ext cx="2447494" cy="4584742"/>
                    </a:xfrm>
                    <a:prstGeom prst="rect">
                      <a:avLst/>
                    </a:prstGeom>
                  </pic:spPr>
                </pic:pic>
              </a:graphicData>
            </a:graphic>
          </wp:inline>
        </w:drawing>
      </w:r>
    </w:p>
    <w:p w14:paraId="49FFDE0E" w14:textId="77777777" w:rsidR="001656B4" w:rsidRDefault="001656B4" w:rsidP="001656B4">
      <w:r w:rsidRPr="001656B4">
        <w:rPr>
          <w:noProof/>
        </w:rPr>
        <w:drawing>
          <wp:inline distT="0" distB="0" distL="0" distR="0" wp14:anchorId="4EC1148F" wp14:editId="10202C25">
            <wp:extent cx="5390147" cy="2532102"/>
            <wp:effectExtent l="0" t="0" r="0" b="0"/>
            <wp:docPr id="1827843420" name="Picture 1" descr="A map of the world with different colored countries/reg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43420" name="Picture 1" descr="A map of the world with different colored countries/regions&#10;&#10;Description automatically generated"/>
                    <pic:cNvPicPr/>
                  </pic:nvPicPr>
                  <pic:blipFill>
                    <a:blip r:embed="rId11"/>
                    <a:stretch>
                      <a:fillRect/>
                    </a:stretch>
                  </pic:blipFill>
                  <pic:spPr>
                    <a:xfrm>
                      <a:off x="0" y="0"/>
                      <a:ext cx="5392806" cy="2533351"/>
                    </a:xfrm>
                    <a:prstGeom prst="rect">
                      <a:avLst/>
                    </a:prstGeom>
                  </pic:spPr>
                </pic:pic>
              </a:graphicData>
            </a:graphic>
          </wp:inline>
        </w:drawing>
      </w:r>
      <w:r w:rsidRPr="001656B4">
        <w:t xml:space="preserve"> </w:t>
      </w:r>
    </w:p>
    <w:p w14:paraId="5A37373B" w14:textId="469E8277" w:rsidR="001656B4" w:rsidRDefault="001656B4" w:rsidP="001656B4">
      <w:r>
        <w:t>NB: will be included in the footnotes of one or more tables/figures and/or in the appendix.</w:t>
      </w:r>
    </w:p>
    <w:p w14:paraId="53EBB6AA" w14:textId="134EB411" w:rsidR="00935C82" w:rsidRPr="00956B21" w:rsidRDefault="00935C82" w:rsidP="001B1EB9"/>
    <w:sectPr w:rsidR="00935C82" w:rsidRPr="00956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53B8"/>
    <w:multiLevelType w:val="hybridMultilevel"/>
    <w:tmpl w:val="8DEC284A"/>
    <w:lvl w:ilvl="0" w:tplc="11E27E68">
      <w:start w:val="3980"/>
      <w:numFmt w:val="bullet"/>
      <w:lvlText w:val="-"/>
      <w:lvlJc w:val="left"/>
      <w:pPr>
        <w:ind w:left="720" w:hanging="360"/>
      </w:pPr>
      <w:rPr>
        <w:rFonts w:ascii="Aptos" w:eastAsiaTheme="minorHAnsi" w:hAnsi="Aptos" w:cstheme="minorBidi"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26C1C"/>
    <w:multiLevelType w:val="multilevel"/>
    <w:tmpl w:val="54D4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4801026">
    <w:abstractNumId w:val="1"/>
  </w:num>
  <w:num w:numId="2" w16cid:durableId="719061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EB"/>
    <w:rsid w:val="000166B9"/>
    <w:rsid w:val="00047F2E"/>
    <w:rsid w:val="000A4407"/>
    <w:rsid w:val="00153AA2"/>
    <w:rsid w:val="001656B4"/>
    <w:rsid w:val="0018318D"/>
    <w:rsid w:val="001B1EB9"/>
    <w:rsid w:val="00287F89"/>
    <w:rsid w:val="002963D1"/>
    <w:rsid w:val="002A6255"/>
    <w:rsid w:val="002F2942"/>
    <w:rsid w:val="00333653"/>
    <w:rsid w:val="0038430F"/>
    <w:rsid w:val="003A73BE"/>
    <w:rsid w:val="00431292"/>
    <w:rsid w:val="004C6415"/>
    <w:rsid w:val="00602B5E"/>
    <w:rsid w:val="0064765A"/>
    <w:rsid w:val="00691EE4"/>
    <w:rsid w:val="006D6E29"/>
    <w:rsid w:val="00744CFF"/>
    <w:rsid w:val="009000DB"/>
    <w:rsid w:val="00935C82"/>
    <w:rsid w:val="00956B21"/>
    <w:rsid w:val="009B2559"/>
    <w:rsid w:val="009E4CE4"/>
    <w:rsid w:val="00A914EB"/>
    <w:rsid w:val="00BE7E9C"/>
    <w:rsid w:val="00C04A1E"/>
    <w:rsid w:val="00C06963"/>
    <w:rsid w:val="00C61039"/>
    <w:rsid w:val="00D435EC"/>
    <w:rsid w:val="00E57C51"/>
    <w:rsid w:val="00E65AB4"/>
    <w:rsid w:val="00F91F38"/>
    <w:rsid w:val="00FE4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DAE4"/>
  <w15:chartTrackingRefBased/>
  <w15:docId w15:val="{CAAC1B81-9B33-C348-B82D-6177377A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4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4EB"/>
    <w:rPr>
      <w:rFonts w:eastAsiaTheme="majorEastAsia" w:cstheme="majorBidi"/>
      <w:color w:val="272727" w:themeColor="text1" w:themeTint="D8"/>
    </w:rPr>
  </w:style>
  <w:style w:type="paragraph" w:styleId="Title">
    <w:name w:val="Title"/>
    <w:basedOn w:val="Normal"/>
    <w:next w:val="Normal"/>
    <w:link w:val="TitleChar"/>
    <w:uiPriority w:val="10"/>
    <w:qFormat/>
    <w:rsid w:val="00A91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4EB"/>
    <w:pPr>
      <w:spacing w:before="160"/>
      <w:jc w:val="center"/>
    </w:pPr>
    <w:rPr>
      <w:i/>
      <w:iCs/>
      <w:color w:val="404040" w:themeColor="text1" w:themeTint="BF"/>
    </w:rPr>
  </w:style>
  <w:style w:type="character" w:customStyle="1" w:styleId="QuoteChar">
    <w:name w:val="Quote Char"/>
    <w:basedOn w:val="DefaultParagraphFont"/>
    <w:link w:val="Quote"/>
    <w:uiPriority w:val="29"/>
    <w:rsid w:val="00A914EB"/>
    <w:rPr>
      <w:i/>
      <w:iCs/>
      <w:color w:val="404040" w:themeColor="text1" w:themeTint="BF"/>
    </w:rPr>
  </w:style>
  <w:style w:type="paragraph" w:styleId="ListParagraph">
    <w:name w:val="List Paragraph"/>
    <w:basedOn w:val="Normal"/>
    <w:uiPriority w:val="34"/>
    <w:qFormat/>
    <w:rsid w:val="00A914EB"/>
    <w:pPr>
      <w:ind w:left="720"/>
      <w:contextualSpacing/>
    </w:pPr>
  </w:style>
  <w:style w:type="character" w:styleId="IntenseEmphasis">
    <w:name w:val="Intense Emphasis"/>
    <w:basedOn w:val="DefaultParagraphFont"/>
    <w:uiPriority w:val="21"/>
    <w:qFormat/>
    <w:rsid w:val="00A914EB"/>
    <w:rPr>
      <w:i/>
      <w:iCs/>
      <w:color w:val="0F4761" w:themeColor="accent1" w:themeShade="BF"/>
    </w:rPr>
  </w:style>
  <w:style w:type="paragraph" w:styleId="IntenseQuote">
    <w:name w:val="Intense Quote"/>
    <w:basedOn w:val="Normal"/>
    <w:next w:val="Normal"/>
    <w:link w:val="IntenseQuoteChar"/>
    <w:uiPriority w:val="30"/>
    <w:qFormat/>
    <w:rsid w:val="00A91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4EB"/>
    <w:rPr>
      <w:i/>
      <w:iCs/>
      <w:color w:val="0F4761" w:themeColor="accent1" w:themeShade="BF"/>
    </w:rPr>
  </w:style>
  <w:style w:type="character" w:styleId="IntenseReference">
    <w:name w:val="Intense Reference"/>
    <w:basedOn w:val="DefaultParagraphFont"/>
    <w:uiPriority w:val="32"/>
    <w:qFormat/>
    <w:rsid w:val="00A914EB"/>
    <w:rPr>
      <w:b/>
      <w:bCs/>
      <w:smallCaps/>
      <w:color w:val="0F4761" w:themeColor="accent1" w:themeShade="BF"/>
      <w:spacing w:val="5"/>
    </w:rPr>
  </w:style>
  <w:style w:type="character" w:styleId="Hyperlink">
    <w:name w:val="Hyperlink"/>
    <w:basedOn w:val="DefaultParagraphFont"/>
    <w:uiPriority w:val="99"/>
    <w:unhideWhenUsed/>
    <w:rsid w:val="00A914EB"/>
    <w:rPr>
      <w:color w:val="467886" w:themeColor="hyperlink"/>
      <w:u w:val="single"/>
    </w:rPr>
  </w:style>
  <w:style w:type="character" w:styleId="UnresolvedMention">
    <w:name w:val="Unresolved Mention"/>
    <w:basedOn w:val="DefaultParagraphFont"/>
    <w:uiPriority w:val="99"/>
    <w:semiHidden/>
    <w:unhideWhenUsed/>
    <w:rsid w:val="00A914EB"/>
    <w:rPr>
      <w:color w:val="605E5C"/>
      <w:shd w:val="clear" w:color="auto" w:fill="E1DFDD"/>
    </w:rPr>
  </w:style>
  <w:style w:type="table" w:styleId="TableGrid">
    <w:name w:val="Table Grid"/>
    <w:basedOn w:val="TableNormal"/>
    <w:uiPriority w:val="39"/>
    <w:rsid w:val="00183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15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wPPEF_6RBpNGz6DUl7PtluyYODnXsOsixZHz_qZnnNs/edit?tab=t.0" TargetMode="External"/><Relationship Id="rId11" Type="http://schemas.openxmlformats.org/officeDocument/2006/relationships/image" Target="media/image5.png"/><Relationship Id="rId5" Type="http://schemas.openxmlformats.org/officeDocument/2006/relationships/hyperlink" Target="mailto:davidaw@uw.ed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944</Words>
  <Characters>5092</Characters>
  <Application>Microsoft Office Word</Application>
  <DocSecurity>0</DocSecurity>
  <Lines>231</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William Msemburi</cp:lastModifiedBy>
  <cp:revision>10</cp:revision>
  <dcterms:created xsi:type="dcterms:W3CDTF">2024-12-16T22:25:00Z</dcterms:created>
  <dcterms:modified xsi:type="dcterms:W3CDTF">2026-01-09T12:49:00Z</dcterms:modified>
</cp:coreProperties>
</file>