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77c87411953ff7ae47627185dd21d6801daface"/>
    <w:p>
      <w:pPr>
        <w:pStyle w:val="Heading1"/>
      </w:pPr>
      <w:r>
        <w:t xml:space="preserve">PRD — Pagos Automáticos de DAS (Opt-in en Hub de Guías DAS)</w:t>
      </w:r>
    </w:p>
    <w:p>
      <w:pPr>
        <w:pStyle w:val="FirstParagraph"/>
      </w:pPr>
      <w:r>
        <w:rPr>
          <w:b/>
          <w:bCs/>
        </w:rPr>
        <w:t xml:space="preserve">Producto:</w:t>
      </w:r>
      <w:r>
        <w:t xml:space="preserve"> </w:t>
      </w:r>
      <w:r>
        <w:t xml:space="preserve">Guías DAS — Mercado Pago Brasil (MLB)</w:t>
      </w:r>
      <w:r>
        <w:t xml:space="preserve"> </w:t>
      </w:r>
      <w:r>
        <w:rPr>
          <w:b/>
          <w:bCs/>
        </w:rPr>
        <w:t xml:space="preserve">Estado:</w:t>
      </w:r>
      <w:r>
        <w:t xml:space="preserve"> </w:t>
      </w:r>
      <w:r>
        <w:t xml:space="preserve">Draft v1.1</w:t>
      </w:r>
      <w:r>
        <w:t xml:space="preserve"> </w:t>
      </w:r>
      <w:r>
        <w:rPr>
          <w:b/>
          <w:bCs/>
        </w:rPr>
        <w:t xml:space="preserve">Fecha:</w:t>
      </w:r>
      <w:r>
        <w:t xml:space="preserve"> </w:t>
      </w:r>
      <w:r>
        <w:t xml:space="preserve">Marzo 2026</w:t>
      </w:r>
      <w:r>
        <w:t xml:space="preserve"> </w:t>
      </w:r>
      <w:r>
        <w:rPr>
          <w:b/>
          <w:bCs/>
        </w:rPr>
        <w:t xml:space="preserve">Autor:</w:t>
      </w:r>
      <w:r>
        <w:t xml:space="preserve"> </w:t>
      </w:r>
      <w:r>
        <w:t xml:space="preserve">Producto Guías DAS</w:t>
      </w:r>
      <w:r>
        <w:t xml:space="preserve"> </w:t>
      </w:r>
      <w:r>
        <w:rPr>
          <w:b/>
          <w:bCs/>
        </w:rPr>
        <w:t xml:space="preserve">Pendientes:</w:t>
      </w:r>
      <w:r>
        <w:t xml:space="preserve"> </w:t>
      </w:r>
      <w:r>
        <w:t xml:space="preserve">Ver Sección 11</w:t>
      </w:r>
    </w:p>
    <w:p>
      <w:r>
        <w:pict>
          <v:rect style="width:0;height:1.5pt" o:hralign="center" o:hrstd="t" o:hr="t"/>
        </w:pict>
      </w:r>
    </w:p>
    <w:bookmarkStart w:id="16" w:name="flujo-en-producción-referencia-figma"/>
    <w:p>
      <w:pPr>
        <w:pStyle w:val="Heading2"/>
      </w:pPr>
      <w:r>
        <w:t xml:space="preserve">0. Flujo en Producción — Referencia Figma</w:t>
      </w:r>
    </w:p>
    <w:p>
      <w:pPr>
        <w:pStyle w:val="BlockText"/>
      </w:pPr>
      <w:r>
        <w:rPr>
          <w:b/>
          <w:bCs/>
        </w:rPr>
        <w:t xml:space="preserve">Fuente:</w:t>
      </w:r>
      <w:r>
        <w:t xml:space="preserve"> </w:t>
      </w:r>
      <w:hyperlink r:id="rId9">
        <w:r>
          <w:rPr>
            <w:rStyle w:val="Hyperlink"/>
          </w:rPr>
          <w:t xml:space="preserve">Figma — Emisión y Pago Guía DAS MLB_Banking Seller Q1.25</w:t>
        </w:r>
      </w:hyperlink>
      <w:r>
        <w:t xml:space="preserve"> </w:t>
      </w:r>
      <w:r>
        <w:rPr>
          <w:b/>
          <w:bCs/>
        </w:rPr>
        <w:t xml:space="preserve">Páginas clave revisadas:</w:t>
      </w:r>
      <w:r>
        <w:t xml:space="preserve"> </w:t>
      </w:r>
      <w:r>
        <w:rPr>
          <w:rStyle w:val="VerbatimChar"/>
        </w:rPr>
        <w:t xml:space="preserve">🟢 Handoff v2 - Iteración</w:t>
      </w:r>
      <w:r>
        <w:t xml:space="preserve"> </w:t>
      </w:r>
      <w:r>
        <w:t xml:space="preserve">·</w:t>
      </w:r>
      <w:r>
        <w:t xml:space="preserve"> </w:t>
      </w:r>
      <w:r>
        <w:rPr>
          <w:rStyle w:val="VerbatimChar"/>
        </w:rPr>
        <w:t xml:space="preserve">↪️ Fluxo DAS &lt;mobile&gt;</w:t>
      </w:r>
      <w:r>
        <w:t xml:space="preserve"> </w:t>
      </w:r>
      <w:r>
        <w:t xml:space="preserve">·</w:t>
      </w:r>
      <w:r>
        <w:t xml:space="preserve"> </w:t>
      </w:r>
      <w:r>
        <w:rPr>
          <w:rStyle w:val="VerbatimChar"/>
        </w:rPr>
        <w:t xml:space="preserve">🎯 Brief - Contexto</w:t>
      </w:r>
    </w:p>
    <w:p>
      <w:pPr>
        <w:pStyle w:val="FirstParagraph"/>
      </w:pPr>
      <w:r>
        <w:t xml:space="preserve">Esta sección documenta la experiencia actual en producción sobre la que se construirá el opt-in de pagos automáticos.</w:t>
      </w:r>
    </w:p>
    <w:bookmarkStart w:id="10" w:name="contexto-del-producto-en-producción"/>
    <w:p>
      <w:pPr>
        <w:pStyle w:val="Heading3"/>
      </w:pPr>
      <w:r>
        <w:t xml:space="preserve">0.1 Contexto del producto en producción</w:t>
      </w:r>
    </w:p>
    <w:p>
      <w:pPr>
        <w:pStyle w:val="FirstParagraph"/>
      </w:pPr>
      <w:r>
        <w:t xml:space="preserve">El producto fue lanzado en Q1 2025, con</w:t>
      </w:r>
      <w:r>
        <w:t xml:space="preserve"> </w:t>
      </w:r>
      <w:r>
        <w:rPr>
          <w:b/>
          <w:bCs/>
        </w:rPr>
        <w:t xml:space="preserve">mobile como prioridad</w:t>
      </w:r>
      <w:r>
        <w:t xml:space="preserve"> </w:t>
      </w:r>
      <w:r>
        <w:t xml:space="preserve">(también con versión desktop). Alcance exclusivo MLB 🇧🇷. El diferencial clave frente a competidores (incluyendo Nubank) es que Mercado Pago ofrece</w:t>
      </w:r>
      <w:r>
        <w:t xml:space="preserve"> </w:t>
      </w:r>
      <w:r>
        <w:rPr>
          <w:b/>
          <w:bCs/>
        </w:rPr>
        <w:t xml:space="preserve">emisión + pago en un solo flujo</w:t>
      </w:r>
      <w:r>
        <w:t xml:space="preserve">, eliminando la necesidad de ir al Portal do Simples Nacional.</w:t>
      </w:r>
    </w:p>
    <w:p>
      <w:pPr>
        <w:pStyle w:val="BodyText"/>
      </w:pPr>
      <w:r>
        <w:rPr>
          <w:b/>
          <w:bCs/>
        </w:rPr>
        <w:t xml:space="preserve">Objetivos declarados en el brief del producto:</w:t>
      </w:r>
      <w:r>
        <w:t xml:space="preserve"> </w:t>
      </w:r>
      <w:r>
        <w:t xml:space="preserve">- Permitir al usuario emitir la guía DAS y pagar desde el mismo flujo de Mercado Pago</w:t>
      </w:r>
      <w:r>
        <w:t xml:space="preserve"> </w:t>
      </w:r>
      <w:r>
        <w:t xml:space="preserve">- Consultar histórico de pagos: realizados, vencidos y futuros</w:t>
      </w:r>
    </w:p>
    <w:p>
      <w:pPr>
        <w:pStyle w:val="BodyText"/>
      </w:pPr>
      <w:r>
        <w:rPr>
          <w:b/>
          <w:bCs/>
        </w:rPr>
        <w:t xml:space="preserve">KPIs objetivo (declarados en Figma brief):</w:t>
      </w:r>
      <w:r>
        <w:t xml:space="preserve"> </w:t>
      </w:r>
      <w:r>
        <w:t xml:space="preserve">- 120K usuarios PJ con pagos (crecimiento ~900% desde los 12K de enero 2025)</w:t>
      </w:r>
      <w:r>
        <w:t xml:space="preserve"> </w:t>
      </w:r>
      <w:r>
        <w:t xml:space="preserve">- TPV R$9MM/mes (crecimiento ~800% desde R$1MM/mes de enero 2025)</w:t>
      </w:r>
    </w:p>
    <w:bookmarkEnd w:id="10"/>
    <w:bookmarkStart w:id="11" w:name="X9228e2210242b21392190eca83f78700e02ced5"/>
    <w:p>
      <w:pPr>
        <w:pStyle w:val="Heading3"/>
      </w:pPr>
      <w:r>
        <w:t xml:space="preserve">0.2 Pantallas y flujo en producción (Happy Path)</w:t>
      </w:r>
    </w:p>
    <w:p>
      <w:pPr>
        <w:pStyle w:val="FirstParagraph"/>
      </w:pPr>
      <w:r>
        <w:t xml:space="preserve">El flujo actual se estructura en las siguientes pantallas principales:</w:t>
      </w:r>
    </w:p>
    <w:p>
      <w:pPr>
        <w:pStyle w:val="SourceCode"/>
      </w:pPr>
      <w:r>
        <w:rPr>
          <w:rStyle w:val="VerbatimChar"/>
        </w:rPr>
        <w:t xml:space="preserve">[Entry point]</w:t>
      </w:r>
      <w:r>
        <w:br/>
      </w:r>
      <w:r>
        <w:rPr>
          <w:rStyle w:val="VerbatimChar"/>
        </w:rPr>
        <w:t xml:space="preserve">CDP / Home de Mercado Pago</w:t>
      </w:r>
      <w:r>
        <w:br/>
      </w:r>
      <w:r>
        <w:rPr>
          <w:rStyle w:val="VerbatimChar"/>
        </w:rPr>
        <w:t xml:space="preserve">  └── Shortcut / acceso al Hub DAS</w:t>
      </w:r>
      <w:r>
        <w:br/>
      </w:r>
      <w:r>
        <w:rPr>
          <w:rStyle w:val="VerbatimChar"/>
        </w:rPr>
        <w:t xml:space="preserve">        ↓</w:t>
      </w:r>
      <w:r>
        <w:br/>
      </w:r>
      <w:r>
        <w:rPr>
          <w:rStyle w:val="VerbatimChar"/>
        </w:rPr>
        <w:t xml:space="preserve">[Hub DAS]</w:t>
      </w:r>
      <w:r>
        <w:br/>
      </w:r>
      <w:r>
        <w:rPr>
          <w:rStyle w:val="VerbatimChar"/>
        </w:rPr>
        <w:t xml:space="preserve">  Lista de períodos fiscales con sus estados:</w:t>
      </w:r>
      <w:r>
        <w:br/>
      </w:r>
      <w:r>
        <w:rPr>
          <w:rStyle w:val="VerbatimChar"/>
        </w:rPr>
        <w:t xml:space="preserve">  • A pagar (pendiente)</w:t>
      </w:r>
      <w:r>
        <w:br/>
      </w:r>
      <w:r>
        <w:rPr>
          <w:rStyle w:val="VerbatimChar"/>
        </w:rPr>
        <w:t xml:space="preserve">  • Vencido</w:t>
      </w:r>
      <w:r>
        <w:br/>
      </w:r>
      <w:r>
        <w:rPr>
          <w:rStyle w:val="VerbatimChar"/>
        </w:rPr>
        <w:t xml:space="preserve">  • Pagado ✓</w:t>
      </w:r>
      <w:r>
        <w:br/>
      </w:r>
      <w:r>
        <w:rPr>
          <w:rStyle w:val="VerbatimChar"/>
        </w:rPr>
        <w:t xml:space="preserve">        ↓</w:t>
      </w:r>
      <w:r>
        <w:br/>
      </w:r>
      <w:r>
        <w:rPr>
          <w:rStyle w:val="VerbatimChar"/>
        </w:rPr>
        <w:t xml:space="preserve">  Seller selecciona un período pendiente → "Emitir y pagar"</w:t>
      </w:r>
      <w:r>
        <w:br/>
      </w:r>
      <w:r>
        <w:rPr>
          <w:rStyle w:val="VerbatimChar"/>
        </w:rPr>
        <w:t xml:space="preserve">        ↓</w:t>
      </w:r>
      <w:r>
        <w:br/>
      </w:r>
      <w:r>
        <w:rPr>
          <w:rStyle w:val="VerbatimChar"/>
        </w:rPr>
        <w:t xml:space="preserve">[CHO — Checkout]</w:t>
      </w:r>
      <w:r>
        <w:br/>
      </w:r>
      <w:r>
        <w:rPr>
          <w:rStyle w:val="VerbatimChar"/>
        </w:rPr>
        <w:t xml:space="preserve">  Resumen del DAS a emitir</w:t>
      </w:r>
      <w:r>
        <w:br/>
      </w:r>
      <w:r>
        <w:rPr>
          <w:rStyle w:val="VerbatimChar"/>
        </w:rPr>
        <w:t xml:space="preserve">  • CNPJ, período fiscal, monto (mín. R$10)</w:t>
      </w:r>
      <w:r>
        <w:br/>
      </w:r>
      <w:r>
        <w:rPr>
          <w:rStyle w:val="VerbatimChar"/>
        </w:rPr>
        <w:t xml:space="preserve">  • Medio de pago: Account Money</w:t>
      </w:r>
      <w:r>
        <w:br/>
      </w:r>
      <w:r>
        <w:rPr>
          <w:rStyle w:val="VerbatimChar"/>
        </w:rPr>
        <w:t xml:space="preserve">        ↓</w:t>
      </w:r>
      <w:r>
        <w:br/>
      </w:r>
      <w:r>
        <w:rPr>
          <w:rStyle w:val="VerbatimChar"/>
        </w:rPr>
        <w:t xml:space="preserve">[Revise e Confirma]</w:t>
      </w:r>
      <w:r>
        <w:br/>
      </w:r>
      <w:r>
        <w:rPr>
          <w:rStyle w:val="VerbatimChar"/>
        </w:rPr>
        <w:t xml:space="preserve">  Pantalla de revisión antes de confirmar</w:t>
      </w:r>
      <w:r>
        <w:br/>
      </w:r>
      <w:r>
        <w:rPr>
          <w:rStyle w:val="VerbatimChar"/>
        </w:rPr>
        <w:t xml:space="preserve">        ↓</w:t>
      </w:r>
      <w:r>
        <w:br/>
      </w:r>
      <w:r>
        <w:rPr>
          <w:rStyle w:val="VerbatimChar"/>
        </w:rPr>
        <w:t xml:space="preserve">[Congrats]</w:t>
      </w:r>
      <w:r>
        <w:br/>
      </w:r>
      <w:r>
        <w:rPr>
          <w:rStyle w:val="VerbatimChar"/>
        </w:rPr>
        <w:t xml:space="preserve">  Confirmación de pago exitoso</w:t>
      </w:r>
      <w:r>
        <w:br/>
      </w:r>
      <w:r>
        <w:rPr>
          <w:rStyle w:val="VerbatimChar"/>
        </w:rPr>
        <w:t xml:space="preserve">  → Vuelve al Hub DAS con el período en estado "Pagado"</w:t>
      </w:r>
    </w:p>
    <w:bookmarkEnd w:id="11"/>
    <w:bookmarkStart w:id="12" w:name="estados-de-los-períodos-en-el-hub-das"/>
    <w:p>
      <w:pPr>
        <w:pStyle w:val="Heading3"/>
      </w:pPr>
      <w:r>
        <w:t xml:space="preserve">0.3 Estados de los períodos en el Hub 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Descripción</w:t>
            </w:r>
          </w:p>
        </w:tc>
      </w:tr>
      <w:tr>
        <w:tc>
          <w:tcPr/>
          <w:p>
            <w:pPr>
              <w:pStyle w:val="Compact"/>
            </w:pPr>
            <w:r>
              <w:rPr>
                <w:b/>
                <w:bCs/>
              </w:rPr>
              <w:t xml:space="preserve">A pagar</w:t>
            </w:r>
          </w:p>
        </w:tc>
        <w:tc>
          <w:tcPr/>
          <w:p>
            <w:pPr>
              <w:pStyle w:val="Compact"/>
            </w:pPr>
            <w:r>
              <w:t xml:space="preserve">Período emitible, dentro del plazo (antes del día 20)</w:t>
            </w:r>
          </w:p>
        </w:tc>
      </w:tr>
      <w:tr>
        <w:tc>
          <w:tcPr/>
          <w:p>
            <w:pPr>
              <w:pStyle w:val="Compact"/>
            </w:pPr>
            <w:r>
              <w:rPr>
                <w:b/>
                <w:bCs/>
              </w:rPr>
              <w:t xml:space="preserve">Vencido</w:t>
            </w:r>
          </w:p>
        </w:tc>
        <w:tc>
          <w:tcPr/>
          <w:p>
            <w:pPr>
              <w:pStyle w:val="Compact"/>
            </w:pPr>
            <w:r>
              <w:t xml:space="preserve">Período pasado el día 20, con posibilidad de mora</w:t>
            </w:r>
          </w:p>
        </w:tc>
      </w:tr>
      <w:tr>
        <w:tc>
          <w:tcPr/>
          <w:p>
            <w:pPr>
              <w:pStyle w:val="Compact"/>
            </w:pPr>
            <w:r>
              <w:rPr>
                <w:b/>
                <w:bCs/>
              </w:rPr>
              <w:t xml:space="preserve">Pagado</w:t>
            </w:r>
          </w:p>
        </w:tc>
        <w:tc>
          <w:tcPr/>
          <w:p>
            <w:pPr>
              <w:pStyle w:val="Compact"/>
            </w:pPr>
            <w:r>
              <w:t xml:space="preserve">Período con pago confirmado en MP</w:t>
            </w:r>
          </w:p>
        </w:tc>
      </w:tr>
      <w:tr>
        <w:tc>
          <w:tcPr/>
          <w:p>
            <w:pPr>
              <w:pStyle w:val="Compact"/>
            </w:pPr>
            <w:r>
              <w:rPr>
                <w:b/>
                <w:bCs/>
              </w:rPr>
              <w:t xml:space="preserve">Pago externo</w:t>
            </w:r>
          </w:p>
        </w:tc>
        <w:tc>
          <w:tcPr/>
          <w:p>
            <w:pPr>
              <w:pStyle w:val="Compact"/>
            </w:pPr>
            <w:r>
              <w:t xml:space="preserve">Período pagado fuera de MP (detectado por SERPRO/gov.br)</w:t>
            </w:r>
          </w:p>
        </w:tc>
      </w:tr>
    </w:tbl>
    <w:bookmarkEnd w:id="12"/>
    <w:bookmarkStart w:id="13" w:name="Xaed79c57ea8f546223feab175b60571bf91fdfb"/>
    <w:p>
      <w:pPr>
        <w:pStyle w:val="Heading3"/>
      </w:pPr>
      <w:r>
        <w:t xml:space="preserve">0.4 Árbol de decisión (lógica visible en Handoff)</w:t>
      </w:r>
    </w:p>
    <w:p>
      <w:pPr>
        <w:pStyle w:val="FirstParagraph"/>
      </w:pPr>
      <w:r>
        <w:t xml:space="preserve">El diseño documenta explícitamente estas decisiones en el flujo:</w:t>
      </w:r>
    </w:p>
    <w:p>
      <w:pPr>
        <w:pStyle w:val="SourceCode"/>
      </w:pPr>
      <w:r>
        <w:rPr>
          <w:rStyle w:val="VerbatimChar"/>
        </w:rPr>
        <w:t xml:space="preserve">¿Tiene impuestos vencidos?</w:t>
      </w:r>
      <w:r>
        <w:br/>
      </w:r>
      <w:r>
        <w:rPr>
          <w:rStyle w:val="VerbatimChar"/>
        </w:rPr>
        <w:t xml:space="preserve">  └── Sí → Muestra el período vencido con estado destacado</w:t>
      </w:r>
      <w:r>
        <w:br/>
      </w:r>
      <w:r>
        <w:rPr>
          <w:rStyle w:val="VerbatimChar"/>
        </w:rPr>
        <w:t xml:space="preserve">¿Pendiente de pago?</w:t>
      </w:r>
      <w:r>
        <w:br/>
      </w:r>
      <w:r>
        <w:rPr>
          <w:rStyle w:val="VerbatimChar"/>
        </w:rPr>
        <w:t xml:space="preserve">  └── Sí → Permite iniciar emisión</w:t>
      </w:r>
      <w:r>
        <w:br/>
      </w:r>
      <w:r>
        <w:rPr>
          <w:rStyle w:val="VerbatimChar"/>
        </w:rPr>
        <w:t xml:space="preserve">  └── No (ya pagado) → Muestra estado "Pagado", sin acción disponible</w:t>
      </w:r>
      <w:r>
        <w:br/>
      </w:r>
      <w:r>
        <w:rPr>
          <w:rStyle w:val="VerbatimChar"/>
        </w:rPr>
        <w:t xml:space="preserve">¿Error UX?</w:t>
      </w:r>
      <w:r>
        <w:br/>
      </w:r>
      <w:r>
        <w:rPr>
          <w:rStyle w:val="VerbatimChar"/>
        </w:rPr>
        <w:t xml:space="preserve">  └── Errores bloqueantes (impiden continuar)</w:t>
      </w:r>
      <w:r>
        <w:br/>
      </w:r>
      <w:r>
        <w:rPr>
          <w:rStyle w:val="VerbatimChar"/>
        </w:rPr>
        <w:t xml:space="preserve">  └── Errores durante el proceso de emisión</w:t>
      </w:r>
      <w:r>
        <w:br/>
      </w:r>
      <w:r>
        <w:rPr>
          <w:rStyle w:val="VerbatimChar"/>
        </w:rPr>
        <w:t xml:space="preserve">  └── Errores del sistema o infraestructura</w:t>
      </w:r>
      <w:r>
        <w:br/>
      </w:r>
      <w:r>
        <w:rPr>
          <w:rStyle w:val="VerbatimChar"/>
        </w:rPr>
        <w:t xml:space="preserve">  └── Mensajes de error genéricos</w:t>
      </w:r>
    </w:p>
    <w:bookmarkEnd w:id="13"/>
    <w:bookmarkStart w:id="14" w:name="Xdfd31db5fa7916aeeb54953bbafb55a1dd4e886"/>
    <w:p>
      <w:pPr>
        <w:pStyle w:val="Heading3"/>
      </w:pPr>
      <w:r>
        <w:t xml:space="preserve">0.5 Impactos del flujo actual en otros productos</w:t>
      </w:r>
    </w:p>
    <w:p>
      <w:pPr>
        <w:pStyle w:val="FirstParagraph"/>
      </w:pPr>
      <w:r>
        <w:t xml:space="preserve">Según el handoff, el flujo de producción impacta en:</w:t>
      </w:r>
      <w:r>
        <w:t xml:space="preserve"> </w:t>
      </w:r>
      <w:r>
        <w:t xml:space="preserve">-</w:t>
      </w:r>
      <w:r>
        <w:t xml:space="preserve"> </w:t>
      </w:r>
      <w:r>
        <w:rPr>
          <w:b/>
          <w:bCs/>
        </w:rPr>
        <w:t xml:space="preserve">Postpago DAS</w:t>
      </w:r>
      <w:r>
        <w:t xml:space="preserve">: pantalla de detalle post-pago y estados</w:t>
      </w:r>
      <w:r>
        <w:t xml:space="preserve"> </w:t>
      </w:r>
      <w:r>
        <w:t xml:space="preserve">-</w:t>
      </w:r>
      <w:r>
        <w:t xml:space="preserve"> </w:t>
      </w:r>
      <w:r>
        <w:rPr>
          <w:b/>
          <w:bCs/>
        </w:rPr>
        <w:t xml:space="preserve">Activities / Bitácora</w:t>
      </w:r>
      <w:r>
        <w:t xml:space="preserve">: registro de la transacción DAS en el historial de actividades del usuario</w:t>
      </w:r>
      <w:r>
        <w:t xml:space="preserve"> </w:t>
      </w:r>
      <w:r>
        <w:t xml:space="preserve">-</w:t>
      </w:r>
      <w:r>
        <w:t xml:space="preserve"> </w:t>
      </w:r>
      <w:r>
        <w:rPr>
          <w:b/>
          <w:bCs/>
        </w:rPr>
        <w:t xml:space="preserve">CDP 3.0</w:t>
      </w:r>
      <w:r>
        <w:t xml:space="preserve">: punto de acceso y visualización de deudas DAS en la Central de Pagos</w:t>
      </w:r>
      <w:r>
        <w:t xml:space="preserve"> </w:t>
      </w:r>
      <w:r>
        <w:t xml:space="preserve">-</w:t>
      </w:r>
      <w:r>
        <w:t xml:space="preserve"> </w:t>
      </w:r>
      <w:r>
        <w:rPr>
          <w:b/>
          <w:bCs/>
        </w:rPr>
        <w:t xml:space="preserve">Awareness y Lembrete de pagamento DAS</w:t>
      </w:r>
      <w:r>
        <w:t xml:space="preserve">: notificaciones/pendientes de recordatorio de pago</w:t>
      </w:r>
    </w:p>
    <w:bookmarkEnd w:id="14"/>
    <w:bookmarkStart w:id="15" w:name="casos-especiales-cubiertos-en-producción"/>
    <w:p>
      <w:pPr>
        <w:pStyle w:val="Heading3"/>
      </w:pPr>
      <w:r>
        <w:t xml:space="preserve">0.6 Casos especiales cubiertos en producción</w:t>
      </w:r>
    </w:p>
    <w:p>
      <w:pPr>
        <w:pStyle w:val="Compact"/>
        <w:numPr>
          <w:ilvl w:val="0"/>
          <w:numId w:val="1001"/>
        </w:numPr>
      </w:pPr>
      <w:r>
        <w:rPr>
          <w:b/>
          <w:bCs/>
        </w:rPr>
        <w:t xml:space="preserve">FTU (First Time User)</w:t>
      </w:r>
      <w:r>
        <w:t xml:space="preserve">: flujo específico para el primer acceso al hub</w:t>
      </w:r>
    </w:p>
    <w:p>
      <w:pPr>
        <w:pStyle w:val="Compact"/>
        <w:numPr>
          <w:ilvl w:val="0"/>
          <w:numId w:val="1001"/>
        </w:numPr>
      </w:pPr>
      <w:r>
        <w:rPr>
          <w:b/>
          <w:bCs/>
        </w:rPr>
        <w:t xml:space="preserve">Monto mínimo (R$10)</w:t>
      </w:r>
      <w:r>
        <w:t xml:space="preserve">: caso donde el monto del DAS es inferior al mínimo, con tratamiento de error diferenciado</w:t>
      </w:r>
    </w:p>
    <w:p>
      <w:pPr>
        <w:pStyle w:val="Compact"/>
        <w:numPr>
          <w:ilvl w:val="0"/>
          <w:numId w:val="1001"/>
        </w:numPr>
      </w:pPr>
      <w:r>
        <w:rPr>
          <w:b/>
          <w:bCs/>
        </w:rPr>
        <w:t xml:space="preserve">Período pagado en MP</w:t>
      </w:r>
      <w:r>
        <w:t xml:space="preserve">: flujo de visualización sin acción</w:t>
      </w:r>
    </w:p>
    <w:p>
      <w:pPr>
        <w:pStyle w:val="Compact"/>
        <w:numPr>
          <w:ilvl w:val="0"/>
          <w:numId w:val="1001"/>
        </w:numPr>
      </w:pPr>
      <w:r>
        <w:rPr>
          <w:b/>
          <w:bCs/>
        </w:rPr>
        <w:t xml:space="preserve">Período pagado en otra institución</w:t>
      </w:r>
      <w:r>
        <w:t xml:space="preserve">: caso identificado por SERPRO, sin emisión</w:t>
      </w:r>
    </w:p>
    <w:p>
      <w:r>
        <w:pict>
          <v:rect style="width:0;height:1.5pt" o:hralign="center" o:hrstd="t" o:hr="t"/>
        </w:pict>
      </w:r>
    </w:p>
    <w:bookmarkEnd w:id="15"/>
    <w:bookmarkEnd w:id="16"/>
    <w:bookmarkStart w:id="20" w:name="contexto-y-problema"/>
    <w:p>
      <w:pPr>
        <w:pStyle w:val="Heading2"/>
      </w:pPr>
      <w:r>
        <w:t xml:space="preserve">1. Contexto y Problema</w:t>
      </w:r>
    </w:p>
    <w:bookmarkStart w:id="17" w:name="contexto-del-producto-actual"/>
    <w:p>
      <w:pPr>
        <w:pStyle w:val="Heading3"/>
      </w:pPr>
      <w:r>
        <w:t xml:space="preserve">1.1 Contexto del producto actual</w:t>
      </w:r>
    </w:p>
    <w:p>
      <w:pPr>
        <w:pStyle w:val="FirstParagraph"/>
      </w:pPr>
      <w:r>
        <w:t xml:space="preserve">Guías DAS permite a sellers MEI (Microempreendedor Individual) emitir y pagar su DAS (Documento de Arrecadação do Simples Nacional) mensual directamente desde Mercado Pago, sin necesidad de acceder a portales gubernamentales. El flujo actual es 100% manual: el seller accede al hub, selecciona el período, emite el boleto y paga.</w:t>
      </w:r>
    </w:p>
    <w:bookmarkEnd w:id="17"/>
    <w:bookmarkStart w:id="18" w:name="problema"/>
    <w:p>
      <w:pPr>
        <w:pStyle w:val="Heading3"/>
      </w:pPr>
      <w:r>
        <w:t xml:space="preserve">1.2 Problema</w:t>
      </w:r>
    </w:p>
    <w:p>
      <w:pPr>
        <w:pStyle w:val="FirstParagraph"/>
      </w:pPr>
      <w:r>
        <w:t xml:space="preserve">El flujo manual genera dos fricciones principales:</w:t>
      </w:r>
    </w:p>
    <w:p>
      <w:pPr>
        <w:pStyle w:val="BodyText"/>
      </w:pPr>
      <w:r>
        <w:rPr>
          <w:b/>
          <w:bCs/>
        </w:rPr>
        <w:t xml:space="preserve">Para el seller:</w:t>
      </w:r>
      <w:r>
        <w:t xml:space="preserve"> </w:t>
      </w:r>
      <w:r>
        <w:t xml:space="preserve">- Requiere recordar y ejecutar activamente el pago mensual</w:t>
      </w:r>
      <w:r>
        <w:t xml:space="preserve"> </w:t>
      </w:r>
      <w:r>
        <w:t xml:space="preserve">- Riesgo de morosidad por olvido (el DAS vence el día 20 de cada mes)</w:t>
      </w:r>
    </w:p>
    <w:p>
      <w:pPr>
        <w:pStyle w:val="BodyText"/>
      </w:pPr>
      <w:r>
        <w:rPr>
          <w:b/>
          <w:bCs/>
        </w:rPr>
        <w:t xml:space="preserve">Para Mercado Pago:</w:t>
      </w:r>
      <w:r>
        <w:t xml:space="preserve"> </w:t>
      </w:r>
      <w:r>
        <w:t xml:space="preserve">- Cada consulta a SERPRO para emitir un boleto tiene un</w:t>
      </w:r>
      <w:r>
        <w:t xml:space="preserve"> </w:t>
      </w:r>
      <w:r>
        <w:rPr>
          <w:b/>
          <w:bCs/>
        </w:rPr>
        <w:t xml:space="preserve">costo directo</w:t>
      </w:r>
      <w:r>
        <w:t xml:space="preserve"> </w:t>
      </w:r>
      <w:r>
        <w:t xml:space="preserve">- En 2025 se experimentaron costos elevados por el volumen de emisiones</w:t>
      </w:r>
      <w:r>
        <w:t xml:space="preserve"> </w:t>
      </w:r>
      <w:r>
        <w:t xml:space="preserve">- El producto Single Player (pagos recurrentes desde Agenda)</w:t>
      </w:r>
      <w:r>
        <w:t xml:space="preserve"> </w:t>
      </w:r>
      <w:r>
        <w:rPr>
          <w:b/>
          <w:bCs/>
        </w:rPr>
        <w:t xml:space="preserve">no es una solución viable</w:t>
      </w:r>
      <w:r>
        <w:t xml:space="preserve"> </w:t>
      </w:r>
      <w:r>
        <w:t xml:space="preserve">porque generaría emisiones descontroladas desde Agenda sin control de costos desde Guías DAS</w:t>
      </w:r>
    </w:p>
    <w:bookmarkEnd w:id="18"/>
    <w:bookmarkStart w:id="19" w:name="decisión-estratégica"/>
    <w:p>
      <w:pPr>
        <w:pStyle w:val="Heading3"/>
      </w:pPr>
      <w:r>
        <w:t xml:space="preserve">1.3 Decisión estratégica</w:t>
      </w:r>
    </w:p>
    <w:p>
      <w:pPr>
        <w:pStyle w:val="FirstParagraph"/>
      </w:pPr>
      <w:r>
        <w:t xml:space="preserve">Se implementará un</w:t>
      </w:r>
      <w:r>
        <w:t xml:space="preserve"> </w:t>
      </w:r>
      <w:r>
        <w:rPr>
          <w:b/>
          <w:bCs/>
        </w:rPr>
        <w:t xml:space="preserve">opt-in propio dentro del hub de Guías DAS</w:t>
      </w:r>
      <w:r>
        <w:t xml:space="preserve"> </w:t>
      </w:r>
      <w:r>
        <w:t xml:space="preserve">que permita al seller configurar pagos automáticos mensuales. Esto centraliza el control de emisiones SERPRO en el producto, evitando duplicidad de costos y manteniendo trazabilidad completa del ciclo de vida de cada DAS.</w:t>
      </w:r>
    </w:p>
    <w:p>
      <w:r>
        <w:pict>
          <v:rect style="width:0;height:1.5pt" o:hralign="center" o:hrstd="t" o:hr="t"/>
        </w:pict>
      </w:r>
    </w:p>
    <w:bookmarkEnd w:id="19"/>
    <w:bookmarkEnd w:id="20"/>
    <w:bookmarkStart w:id="21" w:name="objetivo"/>
    <w:p>
      <w:pPr>
        <w:pStyle w:val="Heading2"/>
      </w:pPr>
      <w:r>
        <w:t xml:space="preserve">2. Objetivo</w:t>
      </w:r>
    </w:p>
    <w:p>
      <w:pPr>
        <w:pStyle w:val="FirstParagraph"/>
      </w:pPr>
      <w:r>
        <w:t xml:space="preserve">Permitir que sellers MEI configuren el pago automático mensual de su DAS desde el hub de Guías DAS. En la fecha configurada, el sistema emite el boleto vía SERPRO, importa la deuda al ecosistema de Agenda y ejecuta el pago automáticamente,</w:t>
      </w:r>
      <w:r>
        <w:t xml:space="preserve"> </w:t>
      </w:r>
      <w:r>
        <w:rPr>
          <w:b/>
          <w:bCs/>
        </w:rPr>
        <w:t xml:space="preserve">en la misma operación</w:t>
      </w:r>
      <w:r>
        <w:t xml:space="preserve">, sin que el seller vea una deuda pendiente en CDP.</w:t>
      </w:r>
    </w:p>
    <w:p>
      <w:r>
        <w:pict>
          <v:rect style="width:0;height:1.5pt" o:hralign="center" o:hrstd="t" o:hr="t"/>
        </w:pict>
      </w:r>
    </w:p>
    <w:bookmarkEnd w:id="21"/>
    <w:bookmarkStart w:id="22" w:name="audiencia"/>
    <w:p>
      <w:pPr>
        <w:pStyle w:val="Heading2"/>
      </w:pPr>
      <w:r>
        <w:t xml:space="preserve">3. Audiencia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Detalle</w:t>
            </w:r>
          </w:p>
        </w:tc>
      </w:tr>
      <w:tr>
        <w:tc>
          <w:tcPr/>
          <w:p>
            <w:pPr>
              <w:pStyle w:val="Compact"/>
            </w:pPr>
            <w:r>
              <w:t xml:space="preserve">Mercado</w:t>
            </w:r>
          </w:p>
        </w:tc>
        <w:tc>
          <w:tcPr/>
          <w:p>
            <w:pPr>
              <w:pStyle w:val="Compact"/>
            </w:pPr>
            <w:r>
              <w:t xml:space="preserve">MLB (Brasil) únicamente</w:t>
            </w:r>
          </w:p>
        </w:tc>
      </w:tr>
      <w:tr>
        <w:tc>
          <w:tcPr/>
          <w:p>
            <w:pPr>
              <w:pStyle w:val="Compact"/>
            </w:pPr>
            <w:r>
              <w:t xml:space="preserve">Tipo de cuenta</w:t>
            </w:r>
          </w:p>
        </w:tc>
        <w:tc>
          <w:tcPr/>
          <w:p>
            <w:pPr>
              <w:pStyle w:val="Compact"/>
            </w:pPr>
            <w:r>
              <w:t xml:space="preserve">MEI activo (Microempreendedor Individual)</w:t>
            </w:r>
          </w:p>
        </w:tc>
      </w:tr>
      <w:tr>
        <w:tc>
          <w:tcPr/>
          <w:p>
            <w:pPr>
              <w:pStyle w:val="Compact"/>
            </w:pPr>
            <w:r>
              <w:t xml:space="preserve">Scope inicial</w:t>
            </w:r>
          </w:p>
        </w:tc>
        <w:tc>
          <w:tcPr/>
          <w:p>
            <w:pPr>
              <w:pStyle w:val="Compact"/>
            </w:pPr>
            <w:r>
              <w:t xml:space="preserve">Sellers elegibles para Guías DAS (audiencia existente)</w:t>
            </w:r>
          </w:p>
        </w:tc>
      </w:tr>
    </w:tbl>
    <w:p>
      <w:r>
        <w:pict>
          <v:rect style="width:0;height:1.5pt" o:hralign="center" o:hrstd="t" o:hr="t"/>
        </w:pict>
      </w:r>
    </w:p>
    <w:bookmarkEnd w:id="22"/>
    <w:bookmarkStart w:id="26" w:name="descripción-del-feature"/>
    <w:p>
      <w:pPr>
        <w:pStyle w:val="Heading2"/>
      </w:pPr>
      <w:r>
        <w:t xml:space="preserve">4. Descripción del Feature</w:t>
      </w:r>
    </w:p>
    <w:bookmarkStart w:id="23" w:name="flujo-general"/>
    <w:p>
      <w:pPr>
        <w:pStyle w:val="Heading3"/>
      </w:pPr>
      <w:r>
        <w:t xml:space="preserve">4.1 Flujo General</w:t>
      </w:r>
    </w:p>
    <w:p>
      <w:pPr>
        <w:pStyle w:val="SourceCode"/>
      </w:pPr>
      <w:r>
        <w:rPr>
          <w:rStyle w:val="VerbatimChar"/>
        </w:rPr>
        <w:t xml:space="preserve">Seller accede al Hub de Guías DAS</w:t>
      </w:r>
      <w:r>
        <w:br/>
      </w:r>
      <w:r>
        <w:rPr>
          <w:rStyle w:val="VerbatimChar"/>
        </w:rPr>
        <w:t xml:space="preserve">        ↓</w:t>
      </w:r>
      <w:r>
        <w:br/>
      </w:r>
      <w:r>
        <w:rPr>
          <w:rStyle w:val="VerbatimChar"/>
        </w:rPr>
        <w:t xml:space="preserve">Ve el opt-in de Pagos Automáticos</w:t>
      </w:r>
      <w:r>
        <w:br/>
      </w:r>
      <w:r>
        <w:rPr>
          <w:rStyle w:val="VerbatimChar"/>
        </w:rPr>
        <w:t xml:space="preserve">        ↓</w:t>
      </w:r>
      <w:r>
        <w:br/>
      </w:r>
      <w:r>
        <w:rPr>
          <w:rStyle w:val="VerbatimChar"/>
        </w:rPr>
        <w:t xml:space="preserve">Acepta términos y selecciona día de pago (entre 1 y 20)</w:t>
      </w:r>
      <w:r>
        <w:br/>
      </w:r>
      <w:r>
        <w:rPr>
          <w:rStyle w:val="VerbatimChar"/>
        </w:rPr>
        <w:t xml:space="preserve">        ↓</w:t>
      </w:r>
      <w:r>
        <w:br/>
      </w:r>
      <w:r>
        <w:rPr>
          <w:rStyle w:val="VerbatimChar"/>
        </w:rPr>
        <w:t xml:space="preserve">[Cada mes, en la fecha configurada]</w:t>
      </w:r>
      <w:r>
        <w:br/>
      </w:r>
      <w:r>
        <w:rPr>
          <w:rStyle w:val="VerbatimChar"/>
        </w:rPr>
        <w:t xml:space="preserve">        ↓</w:t>
      </w:r>
      <w:r>
        <w:br/>
      </w:r>
      <w:r>
        <w:rPr>
          <w:rStyle w:val="VerbatimChar"/>
        </w:rPr>
        <w:t xml:space="preserve">Sistema valida: ¿seller sigue siendo MEI activo?</w:t>
      </w:r>
      <w:r>
        <w:br/>
      </w:r>
      <w:r>
        <w:rPr>
          <w:rStyle w:val="VerbatimChar"/>
        </w:rPr>
        <w:t xml:space="preserve">  └── No → No se emite. Notificar al seller. [Ver 7.3]</w:t>
      </w:r>
      <w:r>
        <w:br/>
      </w:r>
      <w:r>
        <w:rPr>
          <w:rStyle w:val="VerbatimChar"/>
        </w:rPr>
        <w:t xml:space="preserve">  └── Sí → ¿El período ya fue pagado?</w:t>
      </w:r>
      <w:r>
        <w:br/>
      </w:r>
      <w:r>
        <w:rPr>
          <w:rStyle w:val="VerbatimChar"/>
        </w:rPr>
        <w:t xml:space="preserve">              └── Sí → Flujo "período pagado". Sin acción.</w:t>
      </w:r>
      <w:r>
        <w:br/>
      </w:r>
      <w:r>
        <w:rPr>
          <w:rStyle w:val="VerbatimChar"/>
        </w:rPr>
        <w:t xml:space="preserve">              └── No → Emite boleto vía SERPRO (período fiscal anterior)</w:t>
      </w:r>
      <w:r>
        <w:br/>
      </w:r>
      <w:r>
        <w:rPr>
          <w:rStyle w:val="VerbatimChar"/>
        </w:rPr>
        <w:t xml:space="preserve">                          ↓</w:t>
      </w:r>
      <w:r>
        <w:br/>
      </w:r>
      <w:r>
        <w:rPr>
          <w:rStyle w:val="VerbatimChar"/>
        </w:rPr>
        <w:t xml:space="preserve">                    Publica evento opt-in en Topic (BigQueue)</w:t>
      </w:r>
      <w:r>
        <w:br/>
      </w:r>
      <w:r>
        <w:rPr>
          <w:rStyle w:val="VerbatimChar"/>
        </w:rPr>
        <w:t xml:space="preserve">                          ↓</w:t>
      </w:r>
      <w:r>
        <w:br/>
      </w:r>
      <w:r>
        <w:rPr>
          <w:rStyle w:val="VerbatimChar"/>
        </w:rPr>
        <w:t xml:space="preserve">                    Agenda crea deuda + programa pago (misma operación)</w:t>
      </w:r>
      <w:r>
        <w:br/>
      </w:r>
      <w:r>
        <w:rPr>
          <w:rStyle w:val="VerbatimChar"/>
        </w:rPr>
        <w:t xml:space="preserve">                          ↓</w:t>
      </w:r>
      <w:r>
        <w:br/>
      </w:r>
      <w:r>
        <w:rPr>
          <w:rStyle w:val="VerbatimChar"/>
        </w:rPr>
        <w:t xml:space="preserve">                    one-scheduler (PX) ejecuta el pago</w:t>
      </w:r>
      <w:r>
        <w:br/>
      </w:r>
      <w:r>
        <w:rPr>
          <w:rStyle w:val="VerbatimChar"/>
        </w:rPr>
        <w:t xml:space="preserve">                          ↓</w:t>
      </w:r>
      <w:r>
        <w:br/>
      </w:r>
      <w:r>
        <w:rPr>
          <w:rStyle w:val="VerbatimChar"/>
        </w:rPr>
        <w:t xml:space="preserve">                    Estado del período → "Pagado"</w:t>
      </w:r>
      <w:r>
        <w:br/>
      </w:r>
      <w:r>
        <w:rPr>
          <w:rStyle w:val="VerbatimChar"/>
        </w:rPr>
        <w:t xml:space="preserve">                          ↓</w:t>
      </w:r>
      <w:r>
        <w:br/>
      </w:r>
      <w:r>
        <w:rPr>
          <w:rStyle w:val="VerbatimChar"/>
        </w:rPr>
        <w:t xml:space="preserve">                    Notificación al seller (PX + Agenda)</w:t>
      </w:r>
    </w:p>
    <w:bookmarkEnd w:id="23"/>
    <w:bookmarkStart w:id="24" w:name="período-fiscal-a-emitir"/>
    <w:p>
      <w:pPr>
        <w:pStyle w:val="Heading3"/>
      </w:pPr>
      <w:r>
        <w:t xml:space="preserve">4.2 Período fiscal a emitir</w:t>
      </w:r>
    </w:p>
    <w:p>
      <w:pPr>
        <w:pStyle w:val="FirstParagraph"/>
      </w:pPr>
      <w:r>
        <w:t xml:space="preserve">Cada emisión automática corresponde al</w:t>
      </w:r>
      <w:r>
        <w:t xml:space="preserve"> </w:t>
      </w:r>
      <w:r>
        <w:rPr>
          <w:b/>
          <w:bCs/>
        </w:rPr>
        <w:t xml:space="preserve">período fiscal inmediatamente anterior</w:t>
      </w:r>
      <w:r>
        <w:t xml:space="preserve"> </w:t>
      </w:r>
      <w:r>
        <w:t xml:space="preserve">al mes en que se está emitiendo.</w:t>
      </w:r>
    </w:p>
    <w:p>
      <w:pPr>
        <w:pStyle w:val="BlockText"/>
      </w:pPr>
      <w:r>
        <w:rPr>
          <w:b/>
          <w:bCs/>
        </w:rPr>
        <w:t xml:space="preserve">Ejemplo:</w:t>
      </w:r>
      <w:r>
        <w:t xml:space="preserve"> </w:t>
      </w:r>
      <w:r>
        <w:t xml:space="preserve">Si la fecha configurada es el día 15 y estamos en marzo 2026 → se emite el DAS de febrero 2026 (período</w:t>
      </w:r>
      <w:r>
        <w:t xml:space="preserve"> </w:t>
      </w:r>
      <w:r>
        <w:rPr>
          <w:rStyle w:val="VerbatimChar"/>
        </w:rPr>
        <w:t xml:space="preserve">2026-02</w:t>
      </w:r>
      <w:r>
        <w:t xml:space="preserve">).</w:t>
      </w:r>
    </w:p>
    <w:bookmarkEnd w:id="24"/>
    <w:bookmarkStart w:id="25" w:name="alcance-temporal-del-opt-in"/>
    <w:p>
      <w:pPr>
        <w:pStyle w:val="Heading3"/>
      </w:pPr>
      <w:r>
        <w:t xml:space="preserve">4.3 Alcance temporal del opt-in</w:t>
      </w:r>
    </w:p>
    <w:p>
      <w:pPr>
        <w:pStyle w:val="FirstParagraph"/>
      </w:pPr>
      <w:r>
        <w:t xml:space="preserve">El opt-in aplica</w:t>
      </w:r>
      <w:r>
        <w:t xml:space="preserve"> </w:t>
      </w:r>
      <w:r>
        <w:rPr>
          <w:b/>
          <w:bCs/>
        </w:rPr>
        <w:t xml:space="preserve">únicamente desde el momento de activación en adelante</w:t>
      </w:r>
      <w:r>
        <w:t xml:space="preserve">. No cubre períodos fiscales vencidos anteriores al opt-in.</w:t>
      </w:r>
    </w:p>
    <w:p>
      <w:r>
        <w:pict>
          <v:rect style="width:0;height:1.5pt" o:hralign="center" o:hrstd="t" o:hr="t"/>
        </w:pict>
      </w:r>
    </w:p>
    <w:bookmarkEnd w:id="25"/>
    <w:bookmarkEnd w:id="26"/>
    <w:bookmarkStart w:id="37" w:name="opt-in-configuración"/>
    <w:p>
      <w:pPr>
        <w:pStyle w:val="Heading2"/>
      </w:pPr>
      <w:r>
        <w:t xml:space="preserve">5. Opt-in — Configuración</w:t>
      </w:r>
    </w:p>
    <w:bookmarkStart w:id="27" w:name="ubicación"/>
    <w:p>
      <w:pPr>
        <w:pStyle w:val="Heading3"/>
      </w:pPr>
      <w:r>
        <w:t xml:space="preserve">5.1 Ubicación</w:t>
      </w:r>
    </w:p>
    <w:p>
      <w:pPr>
        <w:pStyle w:val="FirstParagraph"/>
      </w:pPr>
      <w:r>
        <w:t xml:space="preserve">El opt-in se muestra dentro del</w:t>
      </w:r>
      <w:r>
        <w:t xml:space="preserve"> </w:t>
      </w:r>
      <w:r>
        <w:rPr>
          <w:b/>
          <w:bCs/>
        </w:rPr>
        <w:t xml:space="preserve">Hub de Guías DAS</w:t>
      </w:r>
      <w:r>
        <w:t xml:space="preserve">, como una nueva sección/card destacada, consistente con el sistema de diseño Andes (mismo lenguaje visual que las Cards de períodos en producción).</w:t>
      </w:r>
    </w:p>
    <w:bookmarkEnd w:id="27"/>
    <w:bookmarkStart w:id="28" w:name="datos-a-capturar-durante-el-opt-in"/>
    <w:p>
      <w:pPr>
        <w:pStyle w:val="Heading3"/>
      </w:pPr>
      <w:r>
        <w:t xml:space="preserve">5.2 Datos a capturar durante el opt-in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t xml:space="preserve">Aceptación de condiciones</w:t>
            </w:r>
          </w:p>
        </w:tc>
        <w:tc>
          <w:tcPr/>
          <w:p>
            <w:pPr>
              <w:pStyle w:val="Compact"/>
            </w:pPr>
            <w:r>
              <w:t xml:space="preserve">Checkbox / confirmación explícita</w:t>
            </w:r>
          </w:p>
        </w:tc>
      </w:tr>
      <w:tr>
        <w:tc>
          <w:tcPr/>
          <w:p>
            <w:pPr>
              <w:pStyle w:val="Compact"/>
            </w:pPr>
            <w:r>
              <w:t xml:space="preserve">Día de pago mensual</w:t>
            </w:r>
          </w:p>
        </w:tc>
        <w:tc>
          <w:tcPr/>
          <w:p>
            <w:pPr>
              <w:pStyle w:val="Compact"/>
            </w:pPr>
            <w:r>
              <w:t xml:space="preserve">Número entre 1 y 20</w:t>
            </w:r>
          </w:p>
        </w:tc>
      </w:tr>
    </w:tbl>
    <w:bookmarkEnd w:id="28"/>
    <w:bookmarkStart w:id="29" w:name="reglas-sobre-la-fecha-de-pago"/>
    <w:p>
      <w:pPr>
        <w:pStyle w:val="Heading3"/>
      </w:pPr>
      <w:r>
        <w:t xml:space="preserve">5.3 Reglas sobre la fecha de pago</w:t>
      </w:r>
    </w:p>
    <w:p>
      <w:pPr>
        <w:pStyle w:val="Compact"/>
        <w:numPr>
          <w:ilvl w:val="0"/>
          <w:numId w:val="1002"/>
        </w:numPr>
      </w:pPr>
      <w:r>
        <w:t xml:space="preserve">El seller puede seleccionar cualquier día entre el</w:t>
      </w:r>
      <w:r>
        <w:t xml:space="preserve"> </w:t>
      </w:r>
      <w:r>
        <w:rPr>
          <w:b/>
          <w:bCs/>
        </w:rPr>
        <w:t xml:space="preserve">1 y el 20</w:t>
      </w:r>
      <w:r>
        <w:t xml:space="preserve"> </w:t>
      </w:r>
      <w:r>
        <w:t xml:space="preserve">del mes</w:t>
      </w:r>
    </w:p>
    <w:p>
      <w:pPr>
        <w:pStyle w:val="Compact"/>
        <w:numPr>
          <w:ilvl w:val="0"/>
          <w:numId w:val="1002"/>
        </w:numPr>
      </w:pPr>
      <w:r>
        <w:t xml:space="preserve">Si el día 20 cae en</w:t>
      </w:r>
      <w:r>
        <w:t xml:space="preserve"> </w:t>
      </w:r>
      <w:r>
        <w:rPr>
          <w:b/>
          <w:bCs/>
        </w:rPr>
        <w:t xml:space="preserve">feriado o fin de semana</w:t>
      </w:r>
      <w:r>
        <w:t xml:space="preserve">, el pago se ejecuta el</w:t>
      </w:r>
      <w:r>
        <w:t xml:space="preserve"> </w:t>
      </w:r>
      <w:r>
        <w:rPr>
          <w:b/>
          <w:bCs/>
        </w:rPr>
        <w:t xml:space="preserve">siguiente día hábil</w:t>
      </w:r>
    </w:p>
    <w:p>
      <w:pPr>
        <w:pStyle w:val="Compact"/>
        <w:numPr>
          <w:ilvl w:val="0"/>
          <w:numId w:val="1002"/>
        </w:numPr>
      </w:pPr>
      <w:r>
        <w:t xml:space="preserve">No se permite configurar fechas posteriores al 20 porque a partir de ese punto el DAS puede incurrir en mora</w:t>
      </w:r>
    </w:p>
    <w:bookmarkEnd w:id="29"/>
    <w:bookmarkStart w:id="30" w:name="método-de-pago"/>
    <w:p>
      <w:pPr>
        <w:pStyle w:val="Heading3"/>
      </w:pPr>
      <w:r>
        <w:t xml:space="preserve">5.4 Método de pago</w:t>
      </w:r>
    </w:p>
    <w:p>
      <w:pPr>
        <w:pStyle w:val="Compact"/>
        <w:numPr>
          <w:ilvl w:val="0"/>
          <w:numId w:val="1003"/>
        </w:numPr>
      </w:pPr>
      <w:r>
        <w:rPr>
          <w:b/>
          <w:bCs/>
        </w:rPr>
        <w:t xml:space="preserve">Primera instancia:</w:t>
      </w:r>
      <w:r>
        <w:t xml:space="preserve"> </w:t>
      </w:r>
      <w:r>
        <w:t xml:space="preserve">Account Money (saldo en cuenta Mercado Pago)</w:t>
      </w:r>
    </w:p>
    <w:p>
      <w:pPr>
        <w:pStyle w:val="Compact"/>
        <w:numPr>
          <w:ilvl w:val="0"/>
          <w:numId w:val="1003"/>
        </w:numPr>
      </w:pPr>
      <w:r>
        <w:rPr>
          <w:b/>
          <w:bCs/>
        </w:rPr>
        <w:t xml:space="preserve">Pendiente:</w:t>
      </w:r>
      <w:r>
        <w:t xml:space="preserve"> </w:t>
      </w:r>
      <w:r>
        <w:t xml:space="preserve">Evaluar con equipo de Single Player si se habilita un segundo medio de pago</w:t>
      </w:r>
      <w:r>
        <w:t xml:space="preserve"> </w:t>
      </w:r>
      <w:r>
        <w:rPr>
          <w:i/>
          <w:iCs/>
        </w:rPr>
        <w:t xml:space="preserve">(ver Sección 11 — P1)</w:t>
      </w:r>
    </w:p>
    <w:bookmarkEnd w:id="30"/>
    <w:bookmarkStart w:id="31" w:name="modificación-y-cancelación"/>
    <w:p>
      <w:pPr>
        <w:pStyle w:val="Heading3"/>
      </w:pPr>
      <w:r>
        <w:t xml:space="preserve">5.5 Modificación y cancelación</w:t>
      </w:r>
    </w:p>
    <w:p>
      <w:pPr>
        <w:pStyle w:val="Compact"/>
        <w:numPr>
          <w:ilvl w:val="0"/>
          <w:numId w:val="1004"/>
        </w:numPr>
      </w:pPr>
      <w:r>
        <w:t xml:space="preserve">El seller puede</w:t>
      </w:r>
      <w:r>
        <w:t xml:space="preserve"> </w:t>
      </w:r>
      <w:r>
        <w:rPr>
          <w:b/>
          <w:bCs/>
        </w:rPr>
        <w:t xml:space="preserve">modificar la fecha</w:t>
      </w:r>
      <w:r>
        <w:t xml:space="preserve"> </w:t>
      </w:r>
      <w:r>
        <w:t xml:space="preserve">o</w:t>
      </w:r>
      <w:r>
        <w:t xml:space="preserve"> </w:t>
      </w:r>
      <w:r>
        <w:rPr>
          <w:b/>
          <w:bCs/>
        </w:rPr>
        <w:t xml:space="preserve">cancelar el opt-in</w:t>
      </w:r>
      <w:r>
        <w:t xml:space="preserve"> </w:t>
      </w:r>
      <w:r>
        <w:t xml:space="preserve">desde el mismo hub de Guías DAS</w:t>
      </w:r>
    </w:p>
    <w:p>
      <w:pPr>
        <w:pStyle w:val="Compact"/>
        <w:numPr>
          <w:ilvl w:val="0"/>
          <w:numId w:val="1004"/>
        </w:numPr>
      </w:pPr>
      <w:r>
        <w:t xml:space="preserve">Si cancela el opt-in en un mes donde el boleto</w:t>
      </w:r>
      <w:r>
        <w:t xml:space="preserve"> </w:t>
      </w:r>
      <w:r>
        <w:rPr>
          <w:b/>
          <w:bCs/>
        </w:rPr>
        <w:t xml:space="preserve">ya fue emitido pero aún no pagado</w:t>
      </w:r>
      <w:r>
        <w:t xml:space="preserve">: la emisión permanece pendiente para pago manual</w:t>
      </w:r>
    </w:p>
    <w:p>
      <w:r>
        <w:pict>
          <v:rect style="width:0;height:1.5pt" o:hralign="center" o:hrstd="t" o:hr="t"/>
        </w:pict>
      </w:r>
    </w:p>
    <w:bookmarkEnd w:id="31"/>
    <w:bookmarkStart w:id="36" w:name="X9a7ee54daacd9b569ce8f4d9e1dafcb2a5da49f"/>
    <w:p>
      <w:pPr>
        <w:pStyle w:val="Heading3"/>
      </w:pPr>
      <w:r>
        <w:t xml:space="preserve">5.6 Propuesta de diseño del opt-in (basada en el flujo de producción)</w:t>
      </w:r>
    </w:p>
    <w:p>
      <w:pPr>
        <w:pStyle w:val="BlockText"/>
      </w:pPr>
      <w:r>
        <w:t xml:space="preserve">Esta propuesta toma como referencia el sistema de diseño</w:t>
      </w:r>
      <w:r>
        <w:t xml:space="preserve"> </w:t>
      </w:r>
      <w:r>
        <w:rPr>
          <w:b/>
          <w:bCs/>
        </w:rPr>
        <w:t xml:space="preserve">Andes</w:t>
      </w:r>
      <w:r>
        <w:t xml:space="preserve"> </w:t>
      </w:r>
      <w:r>
        <w:t xml:space="preserve">y los componentes ya utilizados en el flujo de producción (Cards, Pills, CHO, Revise e Confirma, Congrats).</w:t>
      </w:r>
    </w:p>
    <w:bookmarkStart w:id="32" w:name="flujo-de-pantallas-propuesto"/>
    <w:p>
      <w:pPr>
        <w:pStyle w:val="Heading4"/>
      </w:pPr>
      <w:r>
        <w:t xml:space="preserve">Flujo de pantallas propuesto</w:t>
      </w:r>
    </w:p>
    <w:p>
      <w:pPr>
        <w:pStyle w:val="SourceCode"/>
      </w:pPr>
      <w:r>
        <w:rPr>
          <w:rStyle w:val="VerbatimChar"/>
        </w:rPr>
        <w:t xml:space="preserve">[Hub DAS — estado actual]</w:t>
      </w:r>
      <w:r>
        <w:br/>
      </w:r>
      <w:r>
        <w:rPr>
          <w:rStyle w:val="VerbatimChar"/>
        </w:rPr>
        <w:t xml:space="preserve">  ┌─────────────────────────────────┐</w:t>
      </w:r>
      <w:r>
        <w:br/>
      </w:r>
      <w:r>
        <w:rPr>
          <w:rStyle w:val="VerbatimChar"/>
        </w:rPr>
        <w:t xml:space="preserve">  │  Card destacada (nueva)         │</w:t>
      </w:r>
      <w:r>
        <w:br/>
      </w:r>
      <w:r>
        <w:rPr>
          <w:rStyle w:val="VerbatimChar"/>
        </w:rPr>
        <w:t xml:space="preserve">  │  💳 Pagos automáticos DAS       │</w:t>
      </w:r>
      <w:r>
        <w:br/>
      </w:r>
      <w:r>
        <w:rPr>
          <w:rStyle w:val="VerbatimChar"/>
        </w:rPr>
        <w:t xml:space="preserve">  │  "Configurá el pago automático  │</w:t>
      </w:r>
      <w:r>
        <w:br/>
      </w:r>
      <w:r>
        <w:rPr>
          <w:rStyle w:val="VerbatimChar"/>
        </w:rPr>
        <w:t xml:space="preserve">  │   de tu DAS mensual"            │</w:t>
      </w:r>
      <w:r>
        <w:br/>
      </w:r>
      <w:r>
        <w:rPr>
          <w:rStyle w:val="VerbatimChar"/>
        </w:rPr>
        <w:t xml:space="preserve">  │  [Activar] →                    │</w:t>
      </w:r>
      <w:r>
        <w:br/>
      </w:r>
      <w:r>
        <w:rPr>
          <w:rStyle w:val="VerbatimChar"/>
        </w:rPr>
        <w:t xml:space="preserve">  └─────────────────────────────────┘</w:t>
      </w:r>
      <w:r>
        <w:br/>
      </w:r>
      <w:r>
        <w:rPr>
          <w:rStyle w:val="VerbatimChar"/>
        </w:rPr>
        <w:t xml:space="preserve">  Lista de períodos (existente)</w:t>
      </w:r>
      <w:r>
        <w:br/>
      </w:r>
      <w:r>
        <w:rPr>
          <w:rStyle w:val="VerbatimChar"/>
        </w:rPr>
        <w:t xml:space="preserve">        ↓ tap en "Activar"</w:t>
      </w:r>
      <w:r>
        <w:br/>
      </w:r>
      <w:r>
        <w:br/>
      </w:r>
      <w:r>
        <w:rPr>
          <w:rStyle w:val="VerbatimChar"/>
        </w:rPr>
        <w:t xml:space="preserve">[Pantalla 1 — Explicación / onboarding del opt-in]</w:t>
      </w:r>
      <w:r>
        <w:br/>
      </w:r>
      <w:r>
        <w:rPr>
          <w:rStyle w:val="VerbatimChar"/>
        </w:rPr>
        <w:t xml:space="preserve">  ┌─────────────────────────────────┐</w:t>
      </w:r>
      <w:r>
        <w:br/>
      </w:r>
      <w:r>
        <w:rPr>
          <w:rStyle w:val="VerbatimChar"/>
        </w:rPr>
        <w:t xml:space="preserve">  │  ← Pagos automáticos DAS        │</w:t>
      </w:r>
      <w:r>
        <w:br/>
      </w:r>
      <w:r>
        <w:rPr>
          <w:rStyle w:val="VerbatimChar"/>
        </w:rPr>
        <w:t xml:space="preserve">  │                                 │</w:t>
      </w:r>
      <w:r>
        <w:br/>
      </w:r>
      <w:r>
        <w:rPr>
          <w:rStyle w:val="VerbatimChar"/>
        </w:rPr>
        <w:t xml:space="preserve">  │  ¿Cómo funciona?                │</w:t>
      </w:r>
      <w:r>
        <w:br/>
      </w:r>
      <w:r>
        <w:rPr>
          <w:rStyle w:val="VerbatimChar"/>
        </w:rPr>
        <w:t xml:space="preserve">  │  • Emitimos y pagamos tu DAS    │</w:t>
      </w:r>
      <w:r>
        <w:br/>
      </w:r>
      <w:r>
        <w:rPr>
          <w:rStyle w:val="VerbatimChar"/>
        </w:rPr>
        <w:t xml:space="preserve">  │    automáticamente cada mes     │</w:t>
      </w:r>
      <w:r>
        <w:br/>
      </w:r>
      <w:r>
        <w:rPr>
          <w:rStyle w:val="VerbatimChar"/>
        </w:rPr>
        <w:t xml:space="preserve">  │  • El pago se debita de tu      │</w:t>
      </w:r>
      <w:r>
        <w:br/>
      </w:r>
      <w:r>
        <w:rPr>
          <w:rStyle w:val="VerbatimChar"/>
        </w:rPr>
        <w:t xml:space="preserve">  │    saldo en Mercado Pago        │</w:t>
      </w:r>
      <w:r>
        <w:br/>
      </w:r>
      <w:r>
        <w:rPr>
          <w:rStyle w:val="VerbatimChar"/>
        </w:rPr>
        <w:t xml:space="preserve">  │  • Podés cancelar cuando        │</w:t>
      </w:r>
      <w:r>
        <w:br/>
      </w:r>
      <w:r>
        <w:rPr>
          <w:rStyle w:val="VerbatimChar"/>
        </w:rPr>
        <w:t xml:space="preserve">  │    quieras                      │</w:t>
      </w:r>
      <w:r>
        <w:br/>
      </w:r>
      <w:r>
        <w:rPr>
          <w:rStyle w:val="VerbatimChar"/>
        </w:rPr>
        <w:t xml:space="preserve">  │                                 │</w:t>
      </w:r>
      <w:r>
        <w:br/>
      </w:r>
      <w:r>
        <w:rPr>
          <w:rStyle w:val="VerbatimChar"/>
        </w:rPr>
        <w:t xml:space="preserve">  │  [Configurar →]                 │</w:t>
      </w:r>
      <w:r>
        <w:br/>
      </w:r>
      <w:r>
        <w:rPr>
          <w:rStyle w:val="VerbatimChar"/>
        </w:rPr>
        <w:t xml:space="preserve">  └─────────────────────────────────┘</w:t>
      </w:r>
      <w:r>
        <w:br/>
      </w:r>
      <w:r>
        <w:rPr>
          <w:rStyle w:val="VerbatimChar"/>
        </w:rPr>
        <w:t xml:space="preserve">        ↓</w:t>
      </w:r>
      <w:r>
        <w:br/>
      </w:r>
      <w:r>
        <w:br/>
      </w:r>
      <w:r>
        <w:rPr>
          <w:rStyle w:val="VerbatimChar"/>
        </w:rPr>
        <w:t xml:space="preserve">[Pantalla 2 — Configuración de fecha]</w:t>
      </w:r>
      <w:r>
        <w:br/>
      </w:r>
      <w:r>
        <w:rPr>
          <w:rStyle w:val="VerbatimChar"/>
        </w:rPr>
        <w:t xml:space="preserve">  ┌─────────────────────────────────┐</w:t>
      </w:r>
      <w:r>
        <w:br/>
      </w:r>
      <w:r>
        <w:rPr>
          <w:rStyle w:val="VerbatimChar"/>
        </w:rPr>
        <w:t xml:space="preserve">  │  ← Configurar pago automático   │</w:t>
      </w:r>
      <w:r>
        <w:br/>
      </w:r>
      <w:r>
        <w:rPr>
          <w:rStyle w:val="VerbatimChar"/>
        </w:rPr>
        <w:t xml:space="preserve">  │                                 │</w:t>
      </w:r>
      <w:r>
        <w:br/>
      </w:r>
      <w:r>
        <w:rPr>
          <w:rStyle w:val="VerbatimChar"/>
        </w:rPr>
        <w:t xml:space="preserve">  │  ¿Qué día del mes querés        │</w:t>
      </w:r>
      <w:r>
        <w:br/>
      </w:r>
      <w:r>
        <w:rPr>
          <w:rStyle w:val="VerbatimChar"/>
        </w:rPr>
        <w:t xml:space="preserve">  │  que se realice el pago?        │</w:t>
      </w:r>
      <w:r>
        <w:br/>
      </w:r>
      <w:r>
        <w:rPr>
          <w:rStyle w:val="VerbatimChar"/>
        </w:rPr>
        <w:t xml:space="preserve">  │                                 │</w:t>
      </w:r>
      <w:r>
        <w:br/>
      </w:r>
      <w:r>
        <w:rPr>
          <w:rStyle w:val="VerbatimChar"/>
        </w:rPr>
        <w:t xml:space="preserve">  │  [  5  ] [10] [15] [20]         │</w:t>
      </w:r>
      <w:r>
        <w:br/>
      </w:r>
      <w:r>
        <w:rPr>
          <w:rStyle w:val="VerbatimChar"/>
        </w:rPr>
        <w:t xml:space="preserve">  │  ○ Elegir otro día (1–20)       │</w:t>
      </w:r>
      <w:r>
        <w:br/>
      </w:r>
      <w:r>
        <w:rPr>
          <w:rStyle w:val="VerbatimChar"/>
        </w:rPr>
        <w:t xml:space="preserve">  │                                 │</w:t>
      </w:r>
      <w:r>
        <w:br/>
      </w:r>
      <w:r>
        <w:rPr>
          <w:rStyle w:val="VerbatimChar"/>
        </w:rPr>
        <w:t xml:space="preserve">  │  Medio de pago:                 │</w:t>
      </w:r>
      <w:r>
        <w:br/>
      </w:r>
      <w:r>
        <w:rPr>
          <w:rStyle w:val="VerbatimChar"/>
        </w:rPr>
        <w:t xml:space="preserve">  │  💙 Saldo en Mercado Pago       │</w:t>
      </w:r>
      <w:r>
        <w:br/>
      </w:r>
      <w:r>
        <w:rPr>
          <w:rStyle w:val="VerbatimChar"/>
        </w:rPr>
        <w:t xml:space="preserve">  │                                 │</w:t>
      </w:r>
      <w:r>
        <w:br/>
      </w:r>
      <w:r>
        <w:rPr>
          <w:rStyle w:val="VerbatimChar"/>
        </w:rPr>
        <w:t xml:space="preserve">  └─────────────────────────────────┘</w:t>
      </w:r>
      <w:r>
        <w:br/>
      </w:r>
      <w:r>
        <w:rPr>
          <w:rStyle w:val="VerbatimChar"/>
        </w:rPr>
        <w:t xml:space="preserve">        ↓</w:t>
      </w:r>
      <w:r>
        <w:br/>
      </w:r>
      <w:r>
        <w:br/>
      </w:r>
      <w:r>
        <w:rPr>
          <w:rStyle w:val="VerbatimChar"/>
        </w:rPr>
        <w:t xml:space="preserve">[Pantalla 3 — Revise e Confirma (consistente con CHO actual)]</w:t>
      </w:r>
      <w:r>
        <w:br/>
      </w:r>
      <w:r>
        <w:rPr>
          <w:rStyle w:val="VerbatimChar"/>
        </w:rPr>
        <w:t xml:space="preserve">  ┌─────────────────────────────────┐</w:t>
      </w:r>
      <w:r>
        <w:br/>
      </w:r>
      <w:r>
        <w:rPr>
          <w:rStyle w:val="VerbatimChar"/>
        </w:rPr>
        <w:t xml:space="preserve">  │  ← Revisar y confirmar          │</w:t>
      </w:r>
      <w:r>
        <w:br/>
      </w:r>
      <w:r>
        <w:rPr>
          <w:rStyle w:val="VerbatimChar"/>
        </w:rPr>
        <w:t xml:space="preserve">  │                                 │</w:t>
      </w:r>
      <w:r>
        <w:br/>
      </w:r>
      <w:r>
        <w:rPr>
          <w:rStyle w:val="VerbatimChar"/>
        </w:rPr>
        <w:t xml:space="preserve">  │  Pago automático mensual        │</w:t>
      </w:r>
      <w:r>
        <w:br/>
      </w:r>
      <w:r>
        <w:rPr>
          <w:rStyle w:val="VerbatimChar"/>
        </w:rPr>
        <w:t xml:space="preserve">  │  Día de débito: 10 de cada mes  │</w:t>
      </w:r>
      <w:r>
        <w:br/>
      </w:r>
      <w:r>
        <w:rPr>
          <w:rStyle w:val="VerbatimChar"/>
        </w:rPr>
        <w:t xml:space="preserve">  │  Medio de pago: Saldo MP        │</w:t>
      </w:r>
      <w:r>
        <w:br/>
      </w:r>
      <w:r>
        <w:rPr>
          <w:rStyle w:val="VerbatimChar"/>
        </w:rPr>
        <w:t xml:space="preserve">  │                                 │</w:t>
      </w:r>
      <w:r>
        <w:br/>
      </w:r>
      <w:r>
        <w:rPr>
          <w:rStyle w:val="VerbatimChar"/>
        </w:rPr>
        <w:t xml:space="preserve">  │  Acepto los términos y          │</w:t>
      </w:r>
      <w:r>
        <w:br/>
      </w:r>
      <w:r>
        <w:rPr>
          <w:rStyle w:val="VerbatimChar"/>
        </w:rPr>
        <w:t xml:space="preserve">  │  condiciones de pagos           │</w:t>
      </w:r>
      <w:r>
        <w:br/>
      </w:r>
      <w:r>
        <w:rPr>
          <w:rStyle w:val="VerbatimChar"/>
        </w:rPr>
        <w:t xml:space="preserve">  │  automáticos DAS. ☑             │</w:t>
      </w:r>
      <w:r>
        <w:br/>
      </w:r>
      <w:r>
        <w:rPr>
          <w:rStyle w:val="VerbatimChar"/>
        </w:rPr>
        <w:t xml:space="preserve">  │                                 │</w:t>
      </w:r>
      <w:r>
        <w:br/>
      </w:r>
      <w:r>
        <w:rPr>
          <w:rStyle w:val="VerbatimChar"/>
        </w:rPr>
        <w:t xml:space="preserve">  │  [Confirmar activación]         │</w:t>
      </w:r>
      <w:r>
        <w:br/>
      </w:r>
      <w:r>
        <w:rPr>
          <w:rStyle w:val="VerbatimChar"/>
        </w:rPr>
        <w:t xml:space="preserve">  └─────────────────────────────────┘</w:t>
      </w:r>
      <w:r>
        <w:br/>
      </w:r>
      <w:r>
        <w:rPr>
          <w:rStyle w:val="VerbatimChar"/>
        </w:rPr>
        <w:t xml:space="preserve">        ↓</w:t>
      </w:r>
      <w:r>
        <w:br/>
      </w:r>
      <w:r>
        <w:br/>
      </w:r>
      <w:r>
        <w:rPr>
          <w:rStyle w:val="VerbatimChar"/>
        </w:rPr>
        <w:t xml:space="preserve">[Pantalla 4 — Congrats (consistente con el Congrats del flujo actual)]</w:t>
      </w:r>
      <w:r>
        <w:br/>
      </w:r>
      <w:r>
        <w:rPr>
          <w:rStyle w:val="VerbatimChar"/>
        </w:rPr>
        <w:t xml:space="preserve">  ┌─────────────────────────────────┐</w:t>
      </w:r>
      <w:r>
        <w:br/>
      </w:r>
      <w:r>
        <w:rPr>
          <w:rStyle w:val="VerbatimChar"/>
        </w:rPr>
        <w:t xml:space="preserve">  │  ✅ ¡Listo!                     │</w:t>
      </w:r>
      <w:r>
        <w:br/>
      </w:r>
      <w:r>
        <w:rPr>
          <w:rStyle w:val="VerbatimChar"/>
        </w:rPr>
        <w:t xml:space="preserve">  │  Tus pagos automáticos están    │</w:t>
      </w:r>
      <w:r>
        <w:br/>
      </w:r>
      <w:r>
        <w:rPr>
          <w:rStyle w:val="VerbatimChar"/>
        </w:rPr>
        <w:t xml:space="preserve">  │  activados                      │</w:t>
      </w:r>
      <w:r>
        <w:br/>
      </w:r>
      <w:r>
        <w:rPr>
          <w:rStyle w:val="VerbatimChar"/>
        </w:rPr>
        <w:t xml:space="preserve">  │                                 │</w:t>
      </w:r>
      <w:r>
        <w:br/>
      </w:r>
      <w:r>
        <w:rPr>
          <w:rStyle w:val="VerbatimChar"/>
        </w:rPr>
        <w:t xml:space="preserve">  │  A partir del día 10 de cada    │</w:t>
      </w:r>
      <w:r>
        <w:br/>
      </w:r>
      <w:r>
        <w:rPr>
          <w:rStyle w:val="VerbatimChar"/>
        </w:rPr>
        <w:t xml:space="preserve">  │  mes emitiremos y pagaremos     │</w:t>
      </w:r>
      <w:r>
        <w:br/>
      </w:r>
      <w:r>
        <w:rPr>
          <w:rStyle w:val="VerbatimChar"/>
        </w:rPr>
        <w:t xml:space="preserve">  │  tu DAS automáticamente.        │</w:t>
      </w:r>
      <w:r>
        <w:br/>
      </w:r>
      <w:r>
        <w:rPr>
          <w:rStyle w:val="VerbatimChar"/>
        </w:rPr>
        <w:t xml:space="preserve">  │                                 │</w:t>
      </w:r>
      <w:r>
        <w:br/>
      </w:r>
      <w:r>
        <w:rPr>
          <w:rStyle w:val="VerbatimChar"/>
        </w:rPr>
        <w:t xml:space="preserve">  │  [Volver al hub]                │</w:t>
      </w:r>
      <w:r>
        <w:br/>
      </w:r>
      <w:r>
        <w:rPr>
          <w:rStyle w:val="VerbatimChar"/>
        </w:rPr>
        <w:t xml:space="preserve">  └─────────────────────────────────┘</w:t>
      </w:r>
    </w:p>
    <w:bookmarkEnd w:id="32"/>
    <w:bookmarkStart w:id="33" w:name="estado-del-hub-das-post-opt-in-activado"/>
    <w:p>
      <w:pPr>
        <w:pStyle w:val="Heading4"/>
      </w:pPr>
      <w:r>
        <w:t xml:space="preserve">Estado del Hub DAS post opt-in activado</w:t>
      </w:r>
    </w:p>
    <w:p>
      <w:pPr>
        <w:pStyle w:val="SourceCode"/>
      </w:pPr>
      <w:r>
        <w:rPr>
          <w:rStyle w:val="VerbatimChar"/>
        </w:rPr>
        <w:t xml:space="preserve">[Hub DAS — con opt-in activo]</w:t>
      </w:r>
      <w:r>
        <w:br/>
      </w:r>
      <w:r>
        <w:rPr>
          <w:rStyle w:val="VerbatimChar"/>
        </w:rPr>
        <w:t xml:space="preserve">  ┌─────────────────────────────────┐</w:t>
      </w:r>
      <w:r>
        <w:br/>
      </w:r>
      <w:r>
        <w:rPr>
          <w:rStyle w:val="VerbatimChar"/>
        </w:rPr>
        <w:t xml:space="preserve">  │  Card de gestión (reemplaza     │</w:t>
      </w:r>
      <w:r>
        <w:br/>
      </w:r>
      <w:r>
        <w:rPr>
          <w:rStyle w:val="VerbatimChar"/>
        </w:rPr>
        <w:t xml:space="preserve">  │  la card de activación)         │</w:t>
      </w:r>
      <w:r>
        <w:br/>
      </w:r>
      <w:r>
        <w:rPr>
          <w:rStyle w:val="VerbatimChar"/>
        </w:rPr>
        <w:t xml:space="preserve">  │  ✅ Pago automático activo      │</w:t>
      </w:r>
      <w:r>
        <w:br/>
      </w:r>
      <w:r>
        <w:rPr>
          <w:rStyle w:val="VerbatimChar"/>
        </w:rPr>
        <w:t xml:space="preserve">  │  Próximo pago: 10 de abril      │</w:t>
      </w:r>
      <w:r>
        <w:br/>
      </w:r>
      <w:r>
        <w:rPr>
          <w:rStyle w:val="VerbatimChar"/>
        </w:rPr>
        <w:t xml:space="preserve">  │  Saldo MP  [Modificar] [Cancelar│</w:t>
      </w:r>
      <w:r>
        <w:br/>
      </w:r>
      <w:r>
        <w:rPr>
          <w:rStyle w:val="VerbatimChar"/>
        </w:rPr>
        <w:t xml:space="preserve">  └─────────────────────────────────┘</w:t>
      </w:r>
      <w:r>
        <w:br/>
      </w:r>
      <w:r>
        <w:rPr>
          <w:rStyle w:val="VerbatimChar"/>
        </w:rPr>
        <w:t xml:space="preserve">  Lista de períodos (existente)</w:t>
      </w:r>
    </w:p>
    <w:bookmarkEnd w:id="33"/>
    <w:bookmarkStart w:id="34" w:name="distinción-en-el-historial-de-períodos"/>
    <w:p>
      <w:pPr>
        <w:pStyle w:val="Heading4"/>
      </w:pPr>
      <w:r>
        <w:t xml:space="preserve">Distinción en el historial de períodos</w:t>
      </w:r>
    </w:p>
    <w:p>
      <w:pPr>
        <w:pStyle w:val="FirstParagraph"/>
      </w:pPr>
      <w:r>
        <w:t xml:space="preserve">Cuando un pago es ejecutado automáticamente, el período en el Hub DAS debe mostrar: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Label</w:t>
            </w:r>
          </w:p>
        </w:tc>
        <w:tc>
          <w:tcPr/>
          <w:p>
            <w:pPr>
              <w:pStyle w:val="Compact"/>
            </w:pPr>
            <w:r>
              <w:t xml:space="preserve">Diferenciación visual</w:t>
            </w:r>
          </w:p>
        </w:tc>
      </w:tr>
      <w:tr>
        <w:tc>
          <w:tcPr/>
          <w:p>
            <w:pPr>
              <w:pStyle w:val="Compact"/>
            </w:pPr>
            <w:r>
              <w:t xml:space="preserve">Pagado manualmente</w:t>
            </w:r>
          </w:p>
        </w:tc>
        <w:tc>
          <w:tcPr/>
          <w:p>
            <w:pPr>
              <w:pStyle w:val="Compact"/>
            </w:pPr>
            <w:r>
              <w:rPr>
                <w:rStyle w:val="VerbatimChar"/>
              </w:rPr>
              <w:t xml:space="preserve">Pagado</w:t>
            </w:r>
          </w:p>
        </w:tc>
        <w:tc>
          <w:tcPr/>
          <w:p>
            <w:pPr>
              <w:pStyle w:val="Compact"/>
            </w:pPr>
            <w:r>
              <w:t xml:space="preserve">Pill verde standard</w:t>
            </w:r>
          </w:p>
        </w:tc>
      </w:tr>
      <w:tr>
        <w:tc>
          <w:tcPr/>
          <w:p>
            <w:pPr>
              <w:pStyle w:val="Compact"/>
            </w:pPr>
            <w:r>
              <w:t xml:space="preserve">Pagado automáticamente</w:t>
            </w:r>
          </w:p>
        </w:tc>
        <w:tc>
          <w:tcPr/>
          <w:p>
            <w:pPr>
              <w:pStyle w:val="Compact"/>
            </w:pPr>
            <w:r>
              <w:rPr>
                <w:rStyle w:val="VerbatimChar"/>
              </w:rPr>
              <w:t xml:space="preserve">Pago automático</w:t>
            </w:r>
          </w:p>
        </w:tc>
        <w:tc>
          <w:tcPr/>
          <w:p>
            <w:pPr>
              <w:pStyle w:val="Compact"/>
            </w:pPr>
            <w:r>
              <w:t xml:space="preserve">Pill verde con icono ⚡ o</w:t>
            </w:r>
            <w:r>
              <w:t xml:space="preserve"> </w:t>
            </w:r>
            <w:r>
              <w:t xml:space="preserve">“Auto”</w:t>
            </w:r>
          </w:p>
        </w:tc>
      </w:tr>
    </w:tbl>
    <w:bookmarkEnd w:id="34"/>
    <w:bookmarkStart w:id="35" w:name="consideraciones-de-diseño"/>
    <w:p>
      <w:pPr>
        <w:pStyle w:val="Heading4"/>
      </w:pPr>
      <w:r>
        <w:t xml:space="preserve">Consideraciones de diseño</w:t>
      </w:r>
    </w:p>
    <w:p>
      <w:pPr>
        <w:pStyle w:val="Compact"/>
        <w:numPr>
          <w:ilvl w:val="0"/>
          <w:numId w:val="1005"/>
        </w:numPr>
      </w:pPr>
      <w:r>
        <w:rPr>
          <w:b/>
          <w:bCs/>
        </w:rPr>
        <w:t xml:space="preserve">Componentes Andes a reutilizar:</w:t>
      </w:r>
      <w:r>
        <w:t xml:space="preserve"> </w:t>
      </w:r>
      <w:r>
        <w:t xml:space="preserve">Card (mismo tipo que períodos DAS), CHO para el paso de confirmación, Congrats para el éxito —</w:t>
      </w:r>
      <w:r>
        <w:t xml:space="preserve"> </w:t>
      </w:r>
      <w:r>
        <w:rPr>
          <w:b/>
          <w:bCs/>
        </w:rPr>
        <w:t xml:space="preserve">reutilizar los mismos frames del flujo actual</w:t>
      </w:r>
      <w:r>
        <w:t xml:space="preserve"> </w:t>
      </w:r>
      <w:r>
        <w:t xml:space="preserve">para consistencia</w:t>
      </w:r>
    </w:p>
    <w:p>
      <w:pPr>
        <w:pStyle w:val="Compact"/>
        <w:numPr>
          <w:ilvl w:val="0"/>
          <w:numId w:val="1005"/>
        </w:numPr>
      </w:pPr>
      <w:r>
        <w:rPr>
          <w:b/>
          <w:bCs/>
        </w:rPr>
        <w:t xml:space="preserve">FTU del opt-in:</w:t>
      </w:r>
      <w:r>
        <w:t xml:space="preserve"> </w:t>
      </w:r>
      <w:r>
        <w:t xml:space="preserve">Si el seller nunca configuró pagos automáticos, mostrar la card de activación con énfasis (estado destacado). Si ya lo tiene activo, mostrar la card de gestión</w:t>
      </w:r>
    </w:p>
    <w:p>
      <w:pPr>
        <w:pStyle w:val="Compact"/>
        <w:numPr>
          <w:ilvl w:val="0"/>
          <w:numId w:val="1005"/>
        </w:numPr>
      </w:pPr>
      <w:r>
        <w:rPr>
          <w:b/>
          <w:bCs/>
        </w:rPr>
        <w:t xml:space="preserve">Mobile-first:</w:t>
      </w:r>
      <w:r>
        <w:t xml:space="preserve"> </w:t>
      </w:r>
      <w:r>
        <w:t xml:space="preserve">Igual que el flujo base, la prioridad es mobile (ver Sección 0.1)</w:t>
      </w:r>
    </w:p>
    <w:p>
      <w:r>
        <w:pict>
          <v:rect style="width:0;height:1.5pt" o:hralign="center" o:hrstd="t" o:hr="t"/>
        </w:pict>
      </w:r>
    </w:p>
    <w:bookmarkEnd w:id="35"/>
    <w:bookmarkEnd w:id="36"/>
    <w:bookmarkEnd w:id="37"/>
    <w:bookmarkStart w:id="41" w:name="Xa7bcfe607a475674dcdd3601057b0f5ff18670c"/>
    <w:p>
      <w:pPr>
        <w:pStyle w:val="Heading2"/>
      </w:pPr>
      <w:r>
        <w:t xml:space="preserve">6. Emisión y Pago Automático — Lógica de Negocio</w:t>
      </w:r>
    </w:p>
    <w:bookmarkStart w:id="38" w:name="trigger-mensual"/>
    <w:p>
      <w:pPr>
        <w:pStyle w:val="Heading3"/>
      </w:pPr>
      <w:r>
        <w:t xml:space="preserve">6.1 Trigger mensual</w:t>
      </w:r>
    </w:p>
    <w:p>
      <w:pPr>
        <w:pStyle w:val="FirstParagraph"/>
      </w:pPr>
      <w:r>
        <w:t xml:space="preserve">El sistema evalúa diariamente qué sellers con opt-in activo tienen como</w:t>
      </w:r>
      <w:r>
        <w:t xml:space="preserve"> </w:t>
      </w:r>
      <w:r>
        <w:rPr>
          <w:b/>
          <w:bCs/>
        </w:rPr>
        <w:t xml:space="preserve">fecha configurada el día actual</w:t>
      </w:r>
      <w:r>
        <w:t xml:space="preserve"> </w:t>
      </w:r>
      <w:r>
        <w:t xml:space="preserve">y dispara el ciclo de emisión + pago.</w:t>
      </w:r>
    </w:p>
    <w:bookmarkEnd w:id="38"/>
    <w:bookmarkStart w:id="39" w:name="pre-validaciones-antes-de-emitir"/>
    <w:p>
      <w:pPr>
        <w:pStyle w:val="Heading3"/>
      </w:pPr>
      <w:r>
        <w:t xml:space="preserve">6.2 Pre-validaciones antes de emitir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Validación</w:t>
            </w:r>
          </w:p>
        </w:tc>
        <w:tc>
          <w:tcPr/>
          <w:p>
            <w:pPr>
              <w:pStyle w:val="Compact"/>
            </w:pPr>
            <w:r>
              <w:t xml:space="preserve">Resultado si falla</w:t>
            </w:r>
          </w:p>
        </w:tc>
      </w:tr>
      <w:tr>
        <w:tc>
          <w:tcPr/>
          <w:p>
            <w:pPr>
              <w:pStyle w:val="Compact"/>
            </w:pPr>
            <w:r>
              <w:t xml:space="preserve">Seller sigue siendo MEI activo</w:t>
            </w:r>
          </w:p>
        </w:tc>
        <w:tc>
          <w:tcPr/>
          <w:p>
            <w:pPr>
              <w:pStyle w:val="Compact"/>
            </w:pPr>
            <w:r>
              <w:t xml:space="preserve">No se emite. Notificar al seller. [Ver 7.3]</w:t>
            </w:r>
          </w:p>
        </w:tc>
      </w:tr>
      <w:tr>
        <w:tc>
          <w:tcPr/>
          <w:p>
            <w:pPr>
              <w:pStyle w:val="Compact"/>
            </w:pPr>
            <w:r>
              <w:t xml:space="preserve">El período fiscal ya fue pagado (por cualquier canal)</w:t>
            </w:r>
          </w:p>
        </w:tc>
        <w:tc>
          <w:tcPr/>
          <w:p>
            <w:pPr>
              <w:pStyle w:val="Compact"/>
            </w:pPr>
            <w:r>
              <w:t xml:space="preserve">No se emite. Se sube al flujo existente de</w:t>
            </w:r>
            <w:r>
              <w:t xml:space="preserve"> </w:t>
            </w:r>
            <w:r>
              <w:t xml:space="preserve">“período pagado”</w:t>
            </w:r>
          </w:p>
        </w:tc>
      </w:tr>
      <w:tr>
        <w:tc>
          <w:tcPr/>
          <w:p>
            <w:pPr>
              <w:pStyle w:val="Compact"/>
            </w:pPr>
            <w:r>
              <w:t xml:space="preserve">Saldo suficiente en Account Money</w:t>
            </w:r>
          </w:p>
        </w:tc>
        <w:tc>
          <w:tcPr/>
          <w:p>
            <w:pPr>
              <w:pStyle w:val="Compact"/>
            </w:pPr>
            <w:r>
              <w:rPr>
                <w:b/>
                <w:bCs/>
              </w:rPr>
              <w:t xml:space="preserve">Pendiente definición con equipo Single Player</w:t>
            </w:r>
            <w:r>
              <w:t xml:space="preserve"> </w:t>
            </w:r>
            <w:r>
              <w:rPr>
                <w:i/>
                <w:iCs/>
              </w:rPr>
              <w:t xml:space="preserve">(ver P2)</w:t>
            </w:r>
          </w:p>
        </w:tc>
      </w:tr>
    </w:tbl>
    <w:bookmarkEnd w:id="39"/>
    <w:bookmarkStart w:id="40" w:name="comportamiento-en-cdp-central-de-pagos"/>
    <w:p>
      <w:pPr>
        <w:pStyle w:val="Heading3"/>
      </w:pPr>
      <w:r>
        <w:t xml:space="preserve">6.3 Comportamiento en CDP (Central de Pagos)</w:t>
      </w:r>
    </w:p>
    <w:p>
      <w:pPr>
        <w:pStyle w:val="FirstParagraph"/>
      </w:pPr>
      <w:r>
        <w:t xml:space="preserve">La deuda DAS se importa al ecosistema de Agenda y el pago se ejecuta</w:t>
      </w:r>
      <w:r>
        <w:t xml:space="preserve"> </w:t>
      </w:r>
      <w:r>
        <w:rPr>
          <w:b/>
          <w:bCs/>
        </w:rPr>
        <w:t xml:space="preserve">en la misma operación</w:t>
      </w:r>
      <w:r>
        <w:t xml:space="preserve">. El objetivo es que el seller</w:t>
      </w:r>
      <w:r>
        <w:t xml:space="preserve"> </w:t>
      </w:r>
      <w:r>
        <w:rPr>
          <w:b/>
          <w:bCs/>
        </w:rPr>
        <w:t xml:space="preserve">no visualice una deuda pendiente en CDP</w:t>
      </w:r>
      <w:r>
        <w:t xml:space="preserve"> </w:t>
      </w:r>
      <w:r>
        <w:t xml:space="preserve">— la deuda se crea y se salda en el mismo ciclo, generando únicamente el registro de pago exitoso. Este comportamiento debe coordinarse con el equipo de CDP</w:t>
      </w:r>
      <w:r>
        <w:t xml:space="preserve"> </w:t>
      </w:r>
      <w:r>
        <w:rPr>
          <w:i/>
          <w:iCs/>
        </w:rPr>
        <w:t xml:space="preserve">(ver P4)</w:t>
      </w:r>
      <w:r>
        <w:t xml:space="preserve">.</w:t>
      </w:r>
    </w:p>
    <w:p>
      <w:r>
        <w:pict>
          <v:rect style="width:0;height:1.5pt" o:hralign="center" o:hrstd="t" o:hr="t"/>
        </w:pict>
      </w:r>
    </w:p>
    <w:bookmarkEnd w:id="40"/>
    <w:bookmarkEnd w:id="41"/>
    <w:bookmarkStart w:id="46" w:name="manejo-de-errores"/>
    <w:p>
      <w:pPr>
        <w:pStyle w:val="Heading2"/>
      </w:pPr>
      <w:r>
        <w:t xml:space="preserve">7. Manejo de Errores</w:t>
      </w:r>
    </w:p>
    <w:bookmarkStart w:id="42" w:name="error-por-intermitencia-serpro-sistemas"/>
    <w:p>
      <w:pPr>
        <w:pStyle w:val="Heading3"/>
      </w:pPr>
      <w:r>
        <w:t xml:space="preserve">7.1 Error por intermitencia (SERPRO / sistemas)</w:t>
      </w:r>
    </w:p>
    <w:p>
      <w:pPr>
        <w:pStyle w:val="Compact"/>
        <w:numPr>
          <w:ilvl w:val="0"/>
          <w:numId w:val="1006"/>
        </w:numPr>
      </w:pPr>
      <w:r>
        <w:t xml:space="preserve">El equipo de</w:t>
      </w:r>
      <w:r>
        <w:t xml:space="preserve"> </w:t>
      </w:r>
      <w:r>
        <w:rPr>
          <w:b/>
          <w:bCs/>
        </w:rPr>
        <w:t xml:space="preserve">IT ejecuta reintentos</w:t>
      </w:r>
      <w:r>
        <w:t xml:space="preserve"> </w:t>
      </w:r>
      <w:r>
        <w:t xml:space="preserve">automáticos sin límite definido</w:t>
      </w:r>
    </w:p>
    <w:p>
      <w:pPr>
        <w:pStyle w:val="Compact"/>
        <w:numPr>
          <w:ilvl w:val="0"/>
          <w:numId w:val="1006"/>
        </w:numPr>
      </w:pPr>
      <w:r>
        <w:t xml:space="preserve">Si persiste: notificar al seller que hubo un problema técnico y que puede pagar manualmente</w:t>
      </w:r>
    </w:p>
    <w:bookmarkEnd w:id="42"/>
    <w:bookmarkStart w:id="43" w:name="error-en-el-pago"/>
    <w:p>
      <w:pPr>
        <w:pStyle w:val="Heading3"/>
      </w:pPr>
      <w:r>
        <w:t xml:space="preserve">7.2 Error en el pago</w:t>
      </w:r>
    </w:p>
    <w:p>
      <w:pPr>
        <w:pStyle w:val="Compact"/>
        <w:numPr>
          <w:ilvl w:val="0"/>
          <w:numId w:val="1007"/>
        </w:numPr>
      </w:pPr>
      <w:r>
        <w:t xml:space="preserve">Notificar al seller indicando que el pago automático no pudo procesarse</w:t>
      </w:r>
    </w:p>
    <w:p>
      <w:pPr>
        <w:pStyle w:val="Compact"/>
        <w:numPr>
          <w:ilvl w:val="0"/>
          <w:numId w:val="1007"/>
        </w:numPr>
      </w:pPr>
      <w:r>
        <w:t xml:space="preserve">El seller debe realizar el pago manualmente desde el hub</w:t>
      </w:r>
    </w:p>
    <w:p>
      <w:pPr>
        <w:pStyle w:val="Compact"/>
        <w:numPr>
          <w:ilvl w:val="0"/>
          <w:numId w:val="1007"/>
        </w:numPr>
      </w:pPr>
      <w:r>
        <w:rPr>
          <w:b/>
          <w:bCs/>
        </w:rPr>
        <w:t xml:space="preserve">Pendiente:</w:t>
      </w:r>
      <w:r>
        <w:t xml:space="preserve"> </w:t>
      </w:r>
      <w:r>
        <w:t xml:space="preserve">Mapear todos los códigos de error posibles en la emisión SERPRO</w:t>
      </w:r>
      <w:r>
        <w:t xml:space="preserve"> </w:t>
      </w:r>
      <w:r>
        <w:rPr>
          <w:i/>
          <w:iCs/>
        </w:rPr>
        <w:t xml:space="preserve">(ver P3)</w:t>
      </w:r>
    </w:p>
    <w:bookmarkEnd w:id="43"/>
    <w:bookmarkStart w:id="44" w:name="seller-pierde-status-mei"/>
    <w:p>
      <w:pPr>
        <w:pStyle w:val="Heading3"/>
      </w:pPr>
      <w:r>
        <w:t xml:space="preserve">7.3 Seller pierde status MEI</w:t>
      </w:r>
    </w:p>
    <w:p>
      <w:pPr>
        <w:pStyle w:val="Compact"/>
        <w:numPr>
          <w:ilvl w:val="0"/>
          <w:numId w:val="1008"/>
        </w:numPr>
      </w:pPr>
      <w:r>
        <w:t xml:space="preserve">El sistema detecta en la validación previa que el seller ya no es MEI</w:t>
      </w:r>
    </w:p>
    <w:p>
      <w:pPr>
        <w:pStyle w:val="Compact"/>
        <w:numPr>
          <w:ilvl w:val="0"/>
          <w:numId w:val="1008"/>
        </w:numPr>
      </w:pPr>
      <w:r>
        <w:t xml:space="preserve">No se emite el boleto</w:t>
      </w:r>
    </w:p>
    <w:p>
      <w:pPr>
        <w:pStyle w:val="Compact"/>
        <w:numPr>
          <w:ilvl w:val="0"/>
          <w:numId w:val="1008"/>
        </w:numPr>
      </w:pPr>
      <w:r>
        <w:t xml:space="preserve">Se notifica al seller y se desactiva el opt-in automático</w:t>
      </w:r>
    </w:p>
    <w:bookmarkEnd w:id="44"/>
    <w:bookmarkStart w:id="45" w:name="período-ya-pagado-externamente"/>
    <w:p>
      <w:pPr>
        <w:pStyle w:val="Heading3"/>
      </w:pPr>
      <w:r>
        <w:t xml:space="preserve">7.4 Período ya pagado externamente</w:t>
      </w:r>
    </w:p>
    <w:p>
      <w:pPr>
        <w:pStyle w:val="Compact"/>
        <w:numPr>
          <w:ilvl w:val="0"/>
          <w:numId w:val="1009"/>
        </w:numPr>
      </w:pPr>
      <w:r>
        <w:t xml:space="preserve">Si el DAS del período consta como pagado (gov.br u otro banco): no se emite, sin notificación</w:t>
      </w:r>
    </w:p>
    <w:p>
      <w:pPr>
        <w:pStyle w:val="Compact"/>
        <w:numPr>
          <w:ilvl w:val="0"/>
          <w:numId w:val="1009"/>
        </w:numPr>
      </w:pPr>
      <w:r>
        <w:t xml:space="preserve">Se sigue el flujo existente de visualización de</w:t>
      </w:r>
      <w:r>
        <w:t xml:space="preserve"> </w:t>
      </w:r>
      <w:r>
        <w:t xml:space="preserve">“período pagado”</w:t>
      </w:r>
    </w:p>
    <w:p>
      <w:r>
        <w:pict>
          <v:rect style="width:0;height:1.5pt" o:hralign="center" o:hrstd="t" o:hr="t"/>
        </w:pict>
      </w:r>
    </w:p>
    <w:bookmarkEnd w:id="45"/>
    <w:bookmarkEnd w:id="46"/>
    <w:bookmarkStart w:id="51" w:name="conflicto-con-single-player-agenda"/>
    <w:p>
      <w:pPr>
        <w:pStyle w:val="Heading2"/>
      </w:pPr>
      <w:r>
        <w:t xml:space="preserve">8. Conflicto con Single Player (Agenda)</w:t>
      </w:r>
    </w:p>
    <w:bookmarkStart w:id="47" w:name="problema-1"/>
    <w:p>
      <w:pPr>
        <w:pStyle w:val="Heading3"/>
      </w:pPr>
      <w:r>
        <w:t xml:space="preserve">8.1 Problema</w:t>
      </w:r>
    </w:p>
    <w:p>
      <w:pPr>
        <w:pStyle w:val="FirstParagraph"/>
      </w:pPr>
      <w:r>
        <w:t xml:space="preserve">Single Player tiene su propio opt-in dentro de Agenda para pagos recurrentes. Si un seller MEI activa el opt-in de Guías DAS</w:t>
      </w:r>
      <w:r>
        <w:t xml:space="preserve"> </w:t>
      </w:r>
      <w:r>
        <w:rPr>
          <w:b/>
          <w:bCs/>
        </w:rPr>
        <w:t xml:space="preserve">y también tiene el de Single Player activo</w:t>
      </w:r>
      <w:r>
        <w:t xml:space="preserve">, se generarían dos cobros para el mismo DAS, o el opt-in de Agenda no funcionaría, creando expectativa falsa y sensación de bug.</w:t>
      </w:r>
    </w:p>
    <w:bookmarkEnd w:id="47"/>
    <w:bookmarkStart w:id="48" w:name="decisión-tomada"/>
    <w:p>
      <w:pPr>
        <w:pStyle w:val="Heading3"/>
      </w:pPr>
      <w:r>
        <w:t xml:space="preserve">8.2 Decisión tomada</w:t>
      </w:r>
    </w:p>
    <w:p>
      <w:pPr>
        <w:pStyle w:val="BlockText"/>
      </w:pPr>
      <w:r>
        <w:t xml:space="preserve">Para sellers pertenecientes a la</w:t>
      </w:r>
      <w:r>
        <w:t xml:space="preserve"> </w:t>
      </w:r>
      <w:r>
        <w:rPr>
          <w:b/>
          <w:bCs/>
        </w:rPr>
        <w:t xml:space="preserve">audiencia de Guías DAS</w:t>
      </w:r>
      <w:r>
        <w:t xml:space="preserve">, el opt-in de Single Player</w:t>
      </w:r>
      <w:r>
        <w:t xml:space="preserve"> </w:t>
      </w:r>
      <w:r>
        <w:rPr>
          <w:b/>
          <w:bCs/>
        </w:rPr>
        <w:t xml:space="preserve">no debe mostrarse</w:t>
      </w:r>
      <w:r>
        <w:t xml:space="preserve"> </w:t>
      </w:r>
      <w:r>
        <w:t xml:space="preserve">en el hub de Agenda para este producto específico.</w:t>
      </w:r>
    </w:p>
    <w:bookmarkEnd w:id="48"/>
    <w:bookmarkStart w:id="49" w:name="responsabilidad-de-implementación"/>
    <w:p>
      <w:pPr>
        <w:pStyle w:val="Heading3"/>
      </w:pPr>
      <w:r>
        <w:t xml:space="preserve">8.3 Responsabilidad de implementación</w:t>
      </w:r>
    </w:p>
    <w:p>
      <w:pPr>
        <w:pStyle w:val="FirstParagraph"/>
      </w:pPr>
      <w:r>
        <w:t xml:space="preserve">El equipo de</w:t>
      </w:r>
      <w:r>
        <w:t xml:space="preserve"> </w:t>
      </w:r>
      <w:r>
        <w:rPr>
          <w:b/>
          <w:bCs/>
        </w:rPr>
        <w:t xml:space="preserve">Single Player</w:t>
      </w:r>
      <w:r>
        <w:t xml:space="preserve"> </w:t>
      </w:r>
      <w:r>
        <w:t xml:space="preserve">implementa la lógica de ocultamiento del opt-in en Agenda, basándose en la audiencia de Guías DAS.</w:t>
      </w:r>
    </w:p>
    <w:bookmarkEnd w:id="49"/>
    <w:bookmarkStart w:id="50" w:name="sellers-con-single-player-ya-activo"/>
    <w:p>
      <w:pPr>
        <w:pStyle w:val="Heading3"/>
      </w:pPr>
      <w:r>
        <w:t xml:space="preserve">8.4 Sellers con Single Player ya activo</w:t>
      </w:r>
    </w:p>
    <w:p>
      <w:pPr>
        <w:pStyle w:val="FirstParagraph"/>
      </w:pPr>
      <w:r>
        <w:t xml:space="preserve">No existe actualmente una base de sellers con ambos opt-ins activos simultáneamente. No se requiere migración.</w:t>
      </w:r>
    </w:p>
    <w:p>
      <w:r>
        <w:pict>
          <v:rect style="width:0;height:1.5pt" o:hralign="center" o:hrstd="t" o:hr="t"/>
        </w:pict>
      </w:r>
    </w:p>
    <w:bookmarkEnd w:id="50"/>
    <w:bookmarkEnd w:id="51"/>
    <w:bookmarkStart w:id="56" w:name="notificaciones"/>
    <w:p>
      <w:pPr>
        <w:pStyle w:val="Heading2"/>
      </w:pPr>
      <w:r>
        <w:t xml:space="preserve">9. Notificaciones</w:t>
      </w:r>
    </w:p>
    <w:bookmarkStart w:id="52" w:name="X084a9bbdf8a556af7f23746a0a249abd6e082fd"/>
    <w:p>
      <w:pPr>
        <w:pStyle w:val="Heading3"/>
      </w:pPr>
      <w:r>
        <w:t xml:space="preserve">9.1 Pending de recordatorio (comportamiento actual)</w:t>
      </w:r>
    </w:p>
    <w:p>
      <w:pPr>
        <w:pStyle w:val="FirstParagraph"/>
      </w:pPr>
      <w:r>
        <w:t xml:space="preserve">Los sellers con opt-in activo deben ser</w:t>
      </w:r>
      <w:r>
        <w:t xml:space="preserve"> </w:t>
      </w:r>
      <w:r>
        <w:rPr>
          <w:b/>
          <w:bCs/>
        </w:rPr>
        <w:t xml:space="preserve">excluidos de la pending de recordatorio de pago manual</w:t>
      </w:r>
      <w:r>
        <w:t xml:space="preserve">, ya que el pago es automático.</w:t>
      </w:r>
    </w:p>
    <w:bookmarkEnd w:id="52"/>
    <w:bookmarkStart w:id="53" w:name="notificaciones-por-evento"/>
    <w:p>
      <w:pPr>
        <w:pStyle w:val="Heading3"/>
      </w:pPr>
      <w:r>
        <w:t xml:space="preserve">9.2 Notificaciones por evento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Owner</w:t>
            </w:r>
          </w:p>
        </w:tc>
        <w:tc>
          <w:tcPr/>
          <w:p>
            <w:pPr>
              <w:pStyle w:val="Compact"/>
            </w:pPr>
            <w:r>
              <w:t xml:space="preserve">Canal</w:t>
            </w:r>
          </w:p>
        </w:tc>
      </w:tr>
      <w:tr>
        <w:tc>
          <w:tcPr/>
          <w:p>
            <w:pPr>
              <w:pStyle w:val="Compact"/>
            </w:pPr>
            <w:r>
              <w:t xml:space="preserve">Pago automático exitoso</w:t>
            </w:r>
          </w:p>
        </w:tc>
        <w:tc>
          <w:tcPr/>
          <w:p>
            <w:pPr>
              <w:pStyle w:val="Compact"/>
            </w:pPr>
            <w:r>
              <w:t xml:space="preserve">PX + Agenda</w:t>
            </w:r>
          </w:p>
        </w:tc>
        <w:tc>
          <w:tcPr/>
          <w:p>
            <w:pPr>
              <w:pStyle w:val="Compact"/>
            </w:pPr>
            <w:r>
              <w:t xml:space="preserve">Push / in-app</w:t>
            </w:r>
          </w:p>
        </w:tc>
      </w:tr>
      <w:tr>
        <w:tc>
          <w:tcPr/>
          <w:p>
            <w:pPr>
              <w:pStyle w:val="Compact"/>
            </w:pPr>
            <w:r>
              <w:t xml:space="preserve">Error en pago automático</w:t>
            </w:r>
          </w:p>
        </w:tc>
        <w:tc>
          <w:tcPr/>
          <w:p>
            <w:pPr>
              <w:pStyle w:val="Compact"/>
            </w:pPr>
            <w:r>
              <w:t xml:space="preserve">PX + Agenda</w:t>
            </w:r>
          </w:p>
        </w:tc>
        <w:tc>
          <w:tcPr/>
          <w:p>
            <w:pPr>
              <w:pStyle w:val="Compact"/>
            </w:pPr>
            <w:r>
              <w:t xml:space="preserve">Push / in-app</w:t>
            </w:r>
          </w:p>
        </w:tc>
      </w:tr>
      <w:tr>
        <w:tc>
          <w:tcPr/>
          <w:p>
            <w:pPr>
              <w:pStyle w:val="Compact"/>
            </w:pPr>
            <w:r>
              <w:t xml:space="preserve">Error técnico en emisión (intermitencia)</w:t>
            </w:r>
          </w:p>
        </w:tc>
        <w:tc>
          <w:tcPr/>
          <w:p>
            <w:pPr>
              <w:pStyle w:val="Compact"/>
            </w:pPr>
            <w:r>
              <w:t xml:space="preserve">Team DAS (hub)</w:t>
            </w:r>
          </w:p>
        </w:tc>
        <w:tc>
          <w:tcPr/>
          <w:p>
            <w:pPr>
              <w:pStyle w:val="Compact"/>
            </w:pPr>
            <w:r>
              <w:t xml:space="preserve">In-app (hub Guías DAS)</w:t>
            </w:r>
          </w:p>
        </w:tc>
      </w:tr>
      <w:tr>
        <w:tc>
          <w:tcPr/>
          <w:p>
            <w:pPr>
              <w:pStyle w:val="Compact"/>
            </w:pPr>
            <w:r>
              <w:t xml:space="preserve">Seller dejó de ser MEI</w:t>
            </w:r>
          </w:p>
        </w:tc>
        <w:tc>
          <w:tcPr/>
          <w:p>
            <w:pPr>
              <w:pStyle w:val="Compact"/>
            </w:pPr>
            <w:r>
              <w:t xml:space="preserve">Team DAS (hub)</w:t>
            </w:r>
          </w:p>
        </w:tc>
        <w:tc>
          <w:tcPr/>
          <w:p>
            <w:pPr>
              <w:pStyle w:val="Compact"/>
            </w:pPr>
            <w:r>
              <w:t xml:space="preserve">In-app (hub Guías DAS)</w:t>
            </w:r>
          </w:p>
        </w:tc>
      </w:tr>
    </w:tbl>
    <w:bookmarkEnd w:id="53"/>
    <w:bookmarkStart w:id="54" w:name="historial-en-el-hub"/>
    <w:p>
      <w:pPr>
        <w:pStyle w:val="Heading3"/>
      </w:pPr>
      <w:r>
        <w:t xml:space="preserve">9.3 Historial en el hub</w:t>
      </w:r>
    </w:p>
    <w:p>
      <w:pPr>
        <w:pStyle w:val="FirstParagraph"/>
      </w:pPr>
      <w:r>
        <w:t xml:space="preserve">El hub de Guías DAS debe distinguir visualmente entre</w:t>
      </w:r>
      <w:r>
        <w:t xml:space="preserve"> </w:t>
      </w:r>
      <w:r>
        <w:rPr>
          <w:b/>
          <w:bCs/>
        </w:rPr>
        <w:t xml:space="preserve">pago automático</w:t>
      </w:r>
      <w:r>
        <w:t xml:space="preserve"> </w:t>
      </w:r>
      <w:r>
        <w:t xml:space="preserve">y</w:t>
      </w:r>
      <w:r>
        <w:t xml:space="preserve"> </w:t>
      </w:r>
      <w:r>
        <w:rPr>
          <w:b/>
          <w:bCs/>
        </w:rPr>
        <w:t xml:space="preserve">pago manual</w:t>
      </w:r>
      <w:r>
        <w:t xml:space="preserve"> </w:t>
      </w:r>
      <w:r>
        <w:t xml:space="preserve">en el historial de períodos.</w:t>
      </w:r>
    </w:p>
    <w:bookmarkEnd w:id="54"/>
    <w:bookmarkStart w:id="55" w:name="notificación-previa-al-cobro"/>
    <w:p>
      <w:pPr>
        <w:pStyle w:val="Heading3"/>
      </w:pPr>
      <w:r>
        <w:t xml:space="preserve">9.4 Notificación previa al cobro</w:t>
      </w:r>
    </w:p>
    <w:p>
      <w:pPr>
        <w:pStyle w:val="FirstParagraph"/>
      </w:pPr>
      <w:r>
        <w:rPr>
          <w:b/>
          <w:bCs/>
        </w:rPr>
        <w:t xml:space="preserve">Pendiente:</w:t>
      </w:r>
      <w:r>
        <w:t xml:space="preserve"> </w:t>
      </w:r>
      <w:r>
        <w:t xml:space="preserve">Definir si se envía un aviso al seller días antes del pago automático</w:t>
      </w:r>
      <w:r>
        <w:t xml:space="preserve"> </w:t>
      </w:r>
      <w:r>
        <w:rPr>
          <w:i/>
          <w:iCs/>
        </w:rPr>
        <w:t xml:space="preserve">(ver P5)</w:t>
      </w:r>
    </w:p>
    <w:p>
      <w:r>
        <w:pict>
          <v:rect style="width:0;height:1.5pt" o:hralign="center" o:hrstd="t" o:hr="t"/>
        </w:pict>
      </w:r>
    </w:p>
    <w:bookmarkEnd w:id="55"/>
    <w:bookmarkEnd w:id="56"/>
    <w:bookmarkStart w:id="62" w:name="arquitectura-técnica"/>
    <w:p>
      <w:pPr>
        <w:pStyle w:val="Heading2"/>
      </w:pPr>
      <w:r>
        <w:t xml:space="preserve">10. Arquitectura Técnica</w:t>
      </w:r>
    </w:p>
    <w:bookmarkStart w:id="57" w:name="diagrama-l0-arquitectura-de-alto-nivel"/>
    <w:p>
      <w:pPr>
        <w:pStyle w:val="Heading3"/>
      </w:pPr>
      <w:r>
        <w:t xml:space="preserve">10.1 Diagrama L0 — Arquitectura de Alto Nivel</w:t>
      </w:r>
    </w:p>
    <w:p>
      <w:pPr>
        <w:pStyle w:val="SourceCode"/>
      </w:pPr>
      <w:r>
        <w:rPr>
          <w:rStyle w:val="VerbatimChar"/>
        </w:rPr>
        <w:t xml:space="preserve">┌─────────────────────────────────────────────────────────────────┐</w:t>
      </w:r>
      <w:r>
        <w:br/>
      </w:r>
      <w:r>
        <w:rPr>
          <w:rStyle w:val="VerbatimChar"/>
        </w:rPr>
        <w:t xml:space="preserve">│  DAS MEI — Pago Automático | Arquitectura Alto Nivel            │</w:t>
      </w:r>
      <w:r>
        <w:br/>
      </w:r>
      <w:r>
        <w:rPr>
          <w:rStyle w:val="VerbatimChar"/>
        </w:rPr>
        <w:t xml:space="preserve">└─────────────────────────────────────────────────────────────────┘</w:t>
      </w:r>
      <w:r>
        <w:br/>
      </w:r>
      <w:r>
        <w:br/>
      </w:r>
      <w:r>
        <w:rPr>
          <w:rStyle w:val="VerbatimChar"/>
        </w:rPr>
        <w:t xml:space="preserve">  USUARIO</w:t>
      </w:r>
      <w:r>
        <w:br/>
      </w:r>
      <w:r>
        <w:rPr>
          <w:rStyle w:val="VerbatimChar"/>
        </w:rPr>
        <w:t xml:space="preserve">  ├── Activa pago automático DAS</w:t>
      </w:r>
      <w:r>
        <w:br/>
      </w:r>
      <w:r>
        <w:rPr>
          <w:rStyle w:val="VerbatimChar"/>
        </w:rPr>
        <w:t xml:space="preserve">  ├── Visualiza deudas en CDP (no debe ver deuda pendiente)</w:t>
      </w:r>
      <w:r>
        <w:br/>
      </w:r>
      <w:r>
        <w:rPr>
          <w:rStyle w:val="VerbatimChar"/>
        </w:rPr>
        <w:t xml:space="preserve">  └── Recibe notificaciones de pago exitoso / error</w:t>
      </w:r>
      <w:r>
        <w:br/>
      </w:r>
      <w:r>
        <w:br/>
      </w:r>
      <w:r>
        <w:rPr>
          <w:rStyle w:val="VerbatimChar"/>
        </w:rPr>
        <w:t xml:space="preserve">  TEAM DAS</w:t>
      </w:r>
      <w:r>
        <w:br/>
      </w:r>
      <w:r>
        <w:rPr>
          <w:rStyle w:val="VerbatimChar"/>
        </w:rPr>
        <w:t xml:space="preserve">  ├── DAS Front          → UI del opt-in dentro del hub</w:t>
      </w:r>
      <w:r>
        <w:br/>
      </w:r>
      <w:r>
        <w:rPr>
          <w:rStyle w:val="VerbatimChar"/>
        </w:rPr>
        <w:t xml:space="preserve">  ├── DAS Integration API [NUEVA] → publica en BigQueue Topic</w:t>
      </w:r>
      <w:r>
        <w:br/>
      </w:r>
      <w:r>
        <w:rPr>
          <w:rStyle w:val="VerbatimChar"/>
        </w:rPr>
        <w:t xml:space="preserve">  └── DAS Debt Source    → fuente de deudas para emisión</w:t>
      </w:r>
      <w:r>
        <w:br/>
      </w:r>
      <w:r>
        <w:br/>
      </w:r>
      <w:r>
        <w:rPr>
          <w:rStyle w:val="VerbatimChar"/>
        </w:rPr>
        <w:t xml:space="preserve">  BigQueue Topic (evento opt-in)</w:t>
      </w:r>
      <w:r>
        <w:br/>
      </w:r>
      <w:r>
        <w:rPr>
          <w:rStyle w:val="VerbatimChar"/>
        </w:rPr>
        <w:t xml:space="preserve">  │</w:t>
      </w:r>
      <w:r>
        <w:br/>
      </w:r>
      <w:r>
        <w:rPr>
          <w:rStyle w:val="VerbatimChar"/>
        </w:rPr>
        <w:t xml:space="preserve">  ├──► sp-accounts-core-api    → Crea cuenta DAS MEI para el usuario</w:t>
      </w:r>
      <w:r>
        <w:br/>
      </w:r>
      <w:r>
        <w:rPr>
          <w:rStyle w:val="VerbatimChar"/>
        </w:rPr>
        <w:t xml:space="preserve">  └──► sp-debts-core-api       → Comando CREATE_DEBT</w:t>
      </w:r>
      <w:r>
        <w:br/>
      </w:r>
      <w:r>
        <w:rPr>
          <w:rStyle w:val="VerbatimChar"/>
        </w:rPr>
        <w:t xml:space="preserve">           │</w:t>
      </w:r>
      <w:r>
        <w:br/>
      </w:r>
      <w:r>
        <w:rPr>
          <w:rStyle w:val="VerbatimChar"/>
        </w:rPr>
        <w:t xml:space="preserve">           └──► sp-debts-payments-scheduler → programa pago inmediato</w:t>
      </w:r>
      <w:r>
        <w:br/>
      </w:r>
      <w:r>
        <w:rPr>
          <w:rStyle w:val="VerbatimChar"/>
        </w:rPr>
        <w:t xml:space="preserve">                       │</w:t>
      </w:r>
      <w:r>
        <w:br/>
      </w:r>
      <w:r>
        <w:rPr>
          <w:rStyle w:val="VerbatimChar"/>
        </w:rPr>
        <w:t xml:space="preserve">                       └──► wallet-sp-scheduled-payments-api (Recurrentes)</w:t>
      </w:r>
      <w:r>
        <w:br/>
      </w:r>
      <w:r>
        <w:rPr>
          <w:rStyle w:val="VerbatimChar"/>
        </w:rPr>
        <w:t xml:space="preserve">                                   │</w:t>
      </w:r>
      <w:r>
        <w:br/>
      </w:r>
      <w:r>
        <w:rPr>
          <w:rStyle w:val="VerbatimChar"/>
        </w:rPr>
        <w:t xml:space="preserve">                                   └──► one-scheduler (PX) → ejecuta pago</w:t>
      </w:r>
      <w:r>
        <w:br/>
      </w:r>
      <w:r>
        <w:rPr>
          <w:rStyle w:val="VerbatimChar"/>
        </w:rPr>
        <w:t xml:space="preserve">                                               │</w:t>
      </w:r>
      <w:r>
        <w:br/>
      </w:r>
      <w:r>
        <w:rPr>
          <w:rStyle w:val="VerbatimChar"/>
        </w:rPr>
        <w:t xml:space="preserve">                                               └──► Notificaciones → Usuario</w:t>
      </w:r>
      <w:r>
        <w:br/>
      </w:r>
      <w:r>
        <w:br/>
      </w:r>
      <w:r>
        <w:rPr>
          <w:rStyle w:val="VerbatimChar"/>
        </w:rPr>
        <w:t xml:space="preserve">  Visualización (async):</w:t>
      </w:r>
      <w:r>
        <w:br/>
      </w:r>
      <w:r>
        <w:rPr>
          <w:rStyle w:val="VerbatimChar"/>
        </w:rPr>
        <w:t xml:space="preserve">  sp-debts-input-adapter → sp-debts-query-api → CPS → CDP</w:t>
      </w:r>
    </w:p>
    <w:p>
      <w:pPr>
        <w:pStyle w:val="FirstParagraph"/>
      </w:pPr>
      <w:r>
        <w:rPr>
          <w:b/>
          <w:bCs/>
        </w:rPr>
        <w:t xml:space="preserve">Flujo de datos clave:</w:t>
      </w:r>
      <w:r>
        <w:t xml:space="preserve"> </w:t>
      </w:r>
      <w:r>
        <w:t xml:space="preserve">1. DAS publica → Evento Opt-in (Topic BigQueue)</w:t>
      </w:r>
      <w:r>
        <w:t xml:space="preserve"> </w:t>
      </w:r>
      <w:r>
        <w:t xml:space="preserve">2. Agenda consume → desde Topic</w:t>
      </w:r>
      <w:r>
        <w:t xml:space="preserve"> </w:t>
      </w:r>
      <w:r>
        <w:t xml:space="preserve">3. Agenda envía deudas → Motor de Deudas</w:t>
      </w:r>
      <w:r>
        <w:t xml:space="preserve"> </w:t>
      </w:r>
      <w:r>
        <w:t xml:space="preserve">4. Motor obtiene datos → desde Fuente de Deudas DAS</w:t>
      </w:r>
      <w:r>
        <w:t xml:space="preserve"> </w:t>
      </w:r>
      <w:r>
        <w:t xml:space="preserve">5. Adaptador CDP → CDP (solo si el pago aún no se ejecutó)</w:t>
      </w:r>
      <w:r>
        <w:t xml:space="preserve"> </w:t>
      </w:r>
      <w:r>
        <w:t xml:space="preserve">6. Programador de Pagos → Capa de Pagos Agendados (Recurrentes)</w:t>
      </w:r>
      <w:r>
        <w:t xml:space="preserve"> </w:t>
      </w:r>
      <w:r>
        <w:t xml:space="preserve">7. Motor de Ejecución ejecuta → pagos</w:t>
      </w:r>
      <w:r>
        <w:t xml:space="preserve"> </w:t>
      </w:r>
      <w:r>
        <w:t xml:space="preserve">8. Notificaciones → al usuario</w:t>
      </w:r>
    </w:p>
    <w:p>
      <w:r>
        <w:pict>
          <v:rect style="width:0;height:1.5pt" o:hralign="center" o:hrstd="t" o:hr="t"/>
        </w:pict>
      </w:r>
    </w:p>
    <w:bookmarkEnd w:id="57"/>
    <w:bookmarkStart w:id="58" w:name="Xf44b5175c84067b1fc41df502de1fcbeb500a19"/>
    <w:p>
      <w:pPr>
        <w:pStyle w:val="Heading3"/>
      </w:pPr>
      <w:r>
        <w:t xml:space="preserve">10.2 Diagrama L1 — Arquitectura Técnica Detallada</w:t>
      </w:r>
    </w:p>
    <w:p>
      <w:pPr>
        <w:pStyle w:val="SourceCode"/>
      </w:pPr>
      <w:r>
        <w:rPr>
          <w:rStyle w:val="VerbatimChar"/>
        </w:rPr>
        <w:t xml:space="preserve">┌─────────────────────────────────────────────────────────────────────────┐</w:t>
      </w:r>
      <w:r>
        <w:br/>
      </w:r>
      <w:r>
        <w:rPr>
          <w:rStyle w:val="VerbatimChar"/>
        </w:rPr>
        <w:t xml:space="preserve">│  DAS MEI — Pago Automático | Arquitectura Técnica Detallada             │</w:t>
      </w:r>
      <w:r>
        <w:br/>
      </w:r>
      <w:r>
        <w:rPr>
          <w:rStyle w:val="VerbatimChar"/>
        </w:rPr>
        <w:t xml:space="preserve">│  FASE 1: Opt-in y Alta de Cuenta                                        │</w:t>
      </w:r>
      <w:r>
        <w:br/>
      </w:r>
      <w:r>
        <w:rPr>
          <w:rStyle w:val="VerbatimChar"/>
        </w:rPr>
        <w:t xml:space="preserve">│  FASE 2: Importación de Deudas y Visualización en CDP                   │</w:t>
      </w:r>
      <w:r>
        <w:br/>
      </w:r>
      <w:r>
        <w:rPr>
          <w:rStyle w:val="VerbatimChar"/>
        </w:rPr>
        <w:t xml:space="preserve">│  FASE 3: Pago Automático                                                │</w:t>
      </w:r>
      <w:r>
        <w:br/>
      </w:r>
      <w:r>
        <w:rPr>
          <w:rStyle w:val="VerbatimChar"/>
        </w:rPr>
        <w:t xml:space="preserve">└─────────────────────────────────────────────────────────────────────────┘</w:t>
      </w:r>
      <w:r>
        <w:br/>
      </w:r>
      <w:r>
        <w:br/>
      </w:r>
      <w:r>
        <w:rPr>
          <w:rStyle w:val="VerbatimChar"/>
        </w:rPr>
        <w:t xml:space="preserve">TEAM DAS</w:t>
      </w:r>
      <w:r>
        <w:br/>
      </w:r>
      <w:r>
        <w:rPr>
          <w:rStyle w:val="VerbatimChar"/>
        </w:rPr>
        <w:t xml:space="preserve">┌─────────────────────────────────────────────────────────┐</w:t>
      </w:r>
      <w:r>
        <w:br/>
      </w:r>
      <w:r>
        <w:rPr>
          <w:rStyle w:val="VerbatimChar"/>
        </w:rPr>
        <w:t xml:space="preserve">│  DAS Front (opt-in UI)                                  │</w:t>
      </w:r>
      <w:r>
        <w:br/>
      </w:r>
      <w:r>
        <w:rPr>
          <w:rStyle w:val="VerbatimChar"/>
        </w:rPr>
        <w:t xml:space="preserve">│  DAS Integration API [NUEVA]  ──► BigQueue Topic        │</w:t>
      </w:r>
      <w:r>
        <w:br/>
      </w:r>
      <w:r>
        <w:rPr>
          <w:rStyle w:val="VerbatimChar"/>
        </w:rPr>
        <w:t xml:space="preserve">│  DAS Debt Source ◄──── (provee datos de deuda)          │</w:t>
      </w:r>
      <w:r>
        <w:br/>
      </w:r>
      <w:r>
        <w:rPr>
          <w:rStyle w:val="VerbatimChar"/>
        </w:rPr>
        <w:t xml:space="preserve">└─────────────────────────────────────────────────────────┘</w:t>
      </w:r>
      <w:r>
        <w:br/>
      </w:r>
      <w:r>
        <w:rPr>
          <w:rStyle w:val="VerbatimChar"/>
        </w:rPr>
        <w:t xml:space="preserve">         │ BigQueue Topic (evento opt-in DAS)</w:t>
      </w:r>
      <w:r>
        <w:br/>
      </w:r>
      <w:r>
        <w:rPr>
          <w:rStyle w:val="VerbatimChar"/>
        </w:rPr>
        <w:t xml:space="preserve">         │</w:t>
      </w:r>
      <w:r>
        <w:br/>
      </w:r>
      <w:r>
        <w:rPr>
          <w:rStyle w:val="VerbatimChar"/>
        </w:rPr>
        <w:t xml:space="preserve">         ├──────────────────────────────────────────────────────────────────</w:t>
      </w:r>
      <w:r>
        <w:br/>
      </w:r>
      <w:r>
        <w:rPr>
          <w:rStyle w:val="VerbatimChar"/>
        </w:rPr>
        <w:t xml:space="preserve">         │  FASE 1: Alta de Cuenta</w:t>
      </w:r>
      <w:r>
        <w:br/>
      </w:r>
      <w:r>
        <w:rPr>
          <w:rStyle w:val="VerbatimChar"/>
        </w:rPr>
        <w:t xml:space="preserve">         ├──► sp-accounts-core-api</w:t>
      </w:r>
      <w:r>
        <w:br/>
      </w:r>
      <w:r>
        <w:rPr>
          <w:rStyle w:val="VerbatimChar"/>
        </w:rPr>
        <w:t xml:space="preserve">         │       └── Crea cuenta DAS MEI para el seller</w:t>
      </w:r>
      <w:r>
        <w:br/>
      </w:r>
      <w:r>
        <w:rPr>
          <w:rStyle w:val="VerbatimChar"/>
        </w:rPr>
        <w:t xml:space="preserve">         │</w:t>
      </w:r>
      <w:r>
        <w:br/>
      </w:r>
      <w:r>
        <w:rPr>
          <w:rStyle w:val="VerbatimChar"/>
        </w:rPr>
        <w:t xml:space="preserve">         ├──────────────────────────────────────────────────────────────────</w:t>
      </w:r>
      <w:r>
        <w:br/>
      </w:r>
      <w:r>
        <w:rPr>
          <w:rStyle w:val="VerbatimChar"/>
        </w:rPr>
        <w:t xml:space="preserve">         │  FASE 2: Importación de Deuda</w:t>
      </w:r>
      <w:r>
        <w:br/>
      </w:r>
      <w:r>
        <w:rPr>
          <w:rStyle w:val="VerbatimChar"/>
        </w:rPr>
        <w:t xml:space="preserve">         └──► sp-debts-core-api</w:t>
      </w:r>
      <w:r>
        <w:br/>
      </w:r>
      <w:r>
        <w:rPr>
          <w:rStyle w:val="VerbatimChar"/>
        </w:rPr>
        <w:t xml:space="preserve">                  │  Comando: CREATE_DEBT</w:t>
      </w:r>
      <w:r>
        <w:br/>
      </w:r>
      <w:r>
        <w:rPr>
          <w:rStyle w:val="VerbatimChar"/>
        </w:rPr>
        <w:t xml:space="preserve">                  │  ├── Máquina de Estados (Spring State Machine)</w:t>
      </w:r>
      <w:r>
        <w:br/>
      </w:r>
      <w:r>
        <w:rPr>
          <w:rStyle w:val="VerbatimChar"/>
        </w:rPr>
        <w:t xml:space="preserve">                  │  ├── Motor de Eventos</w:t>
      </w:r>
      <w:r>
        <w:br/>
      </w:r>
      <w:r>
        <w:rPr>
          <w:rStyle w:val="VerbatimChar"/>
        </w:rPr>
        <w:t xml:space="preserve">                  │  ├── BQ producer (broadcast)</w:t>
      </w:r>
      <w:r>
        <w:br/>
      </w:r>
      <w:r>
        <w:rPr>
          <w:rStyle w:val="VerbatimChar"/>
        </w:rPr>
        <w:t xml:space="preserve">                  │  └── Stream producer</w:t>
      </w:r>
      <w:r>
        <w:br/>
      </w:r>
      <w:r>
        <w:rPr>
          <w:rStyle w:val="VerbatimChar"/>
        </w:rPr>
        <w:t xml:space="preserve">                  │              │</w:t>
      </w:r>
      <w:r>
        <w:br/>
      </w:r>
      <w:r>
        <w:rPr>
          <w:rStyle w:val="VerbatimChar"/>
        </w:rPr>
        <w:t xml:space="preserve">                  │              └──► sp-debts-input-adapter</w:t>
      </w:r>
      <w:r>
        <w:br/>
      </w:r>
      <w:r>
        <w:rPr>
          <w:rStyle w:val="VerbatimChar"/>
        </w:rPr>
        <w:t xml:space="preserve">                  │                       ├── Event Sourcing + CQRS</w:t>
      </w:r>
      <w:r>
        <w:br/>
      </w:r>
      <w:r>
        <w:rPr>
          <w:rStyle w:val="VerbatimChar"/>
        </w:rPr>
        <w:t xml:space="preserve">                  │                       ├── Event Store</w:t>
      </w:r>
      <w:r>
        <w:br/>
      </w:r>
      <w:r>
        <w:rPr>
          <w:rStyle w:val="VerbatimChar"/>
        </w:rPr>
        <w:t xml:space="preserve">                  │                       └── Stream ──► sp-debts-query-api</w:t>
      </w:r>
      <w:r>
        <w:br/>
      </w:r>
      <w:r>
        <w:rPr>
          <w:rStyle w:val="VerbatimChar"/>
        </w:rPr>
        <w:t xml:space="preserve">                  │                                           │</w:t>
      </w:r>
      <w:r>
        <w:br/>
      </w:r>
      <w:r>
        <w:rPr>
          <w:rStyle w:val="VerbatimChar"/>
        </w:rPr>
        <w:t xml:space="preserve">                  │                                           └── REST ──► CPS</w:t>
      </w:r>
      <w:r>
        <w:br/>
      </w:r>
      <w:r>
        <w:rPr>
          <w:rStyle w:val="VerbatimChar"/>
        </w:rPr>
        <w:t xml:space="preserve">                  │                                                    (Central Payment Services)</w:t>
      </w:r>
      <w:r>
        <w:br/>
      </w:r>
      <w:r>
        <w:rPr>
          <w:rStyle w:val="VerbatimChar"/>
        </w:rPr>
        <w:t xml:space="preserve">                  │                                                         │</w:t>
      </w:r>
      <w:r>
        <w:br/>
      </w:r>
      <w:r>
        <w:rPr>
          <w:rStyle w:val="VerbatimChar"/>
        </w:rPr>
        <w:t xml:space="preserve">                  │                                                         └── REST ──► CDP</w:t>
      </w:r>
      <w:r>
        <w:br/>
      </w:r>
      <w:r>
        <w:rPr>
          <w:rStyle w:val="VerbatimChar"/>
        </w:rPr>
        <w:t xml:space="preserve">                  │                                              (Central de Pagos — Wallet mobile+desktop)</w:t>
      </w:r>
      <w:r>
        <w:br/>
      </w:r>
      <w:r>
        <w:rPr>
          <w:rStyle w:val="VerbatimChar"/>
        </w:rPr>
        <w:t xml:space="preserve">                  │</w:t>
      </w:r>
      <w:r>
        <w:br/>
      </w:r>
      <w:r>
        <w:rPr>
          <w:rStyle w:val="VerbatimChar"/>
        </w:rPr>
        <w:t xml:space="preserve">                  ├──────────────────────────────────────────────────────────────</w:t>
      </w:r>
      <w:r>
        <w:br/>
      </w:r>
      <w:r>
        <w:rPr>
          <w:rStyle w:val="VerbatimChar"/>
        </w:rPr>
        <w:t xml:space="preserve">                  │  FASE 3: Pago Automático (misma operación que la creación de deuda)</w:t>
      </w:r>
      <w:r>
        <w:br/>
      </w:r>
      <w:r>
        <w:rPr>
          <w:rStyle w:val="VerbatimChar"/>
        </w:rPr>
        <w:t xml:space="preserve">                  └── BQ event (debt_created)</w:t>
      </w:r>
      <w:r>
        <w:br/>
      </w:r>
      <w:r>
        <w:rPr>
          <w:rStyle w:val="VerbatimChar"/>
        </w:rPr>
        <w:t xml:space="preserve">                              │</w:t>
      </w:r>
      <w:r>
        <w:br/>
      </w:r>
      <w:r>
        <w:rPr>
          <w:rStyle w:val="VerbatimChar"/>
        </w:rPr>
        <w:t xml:space="preserve">                              └──► sp-debts-payments-scheduler</w:t>
      </w:r>
      <w:r>
        <w:br/>
      </w:r>
      <w:r>
        <w:rPr>
          <w:rStyle w:val="VerbatimChar"/>
        </w:rPr>
        <w:t xml:space="preserve">                                        ├── sp-debts-payments-match   (matchea períodos, oculta pagadas)</w:t>
      </w:r>
      <w:r>
        <w:br/>
      </w:r>
      <w:r>
        <w:rPr>
          <w:rStyle w:val="VerbatimChar"/>
        </w:rPr>
        <w:t xml:space="preserve">                                        ├── sp-user-debt-configs       (config visibilidad — KVS)</w:t>
      </w:r>
      <w:r>
        <w:br/>
      </w:r>
      <w:r>
        <w:rPr>
          <w:rStyle w:val="VerbatimChar"/>
        </w:rPr>
        <w:t xml:space="preserve">                                        └── REST ──► wallet-sp-scheduled-payments-api  (Recurrentes)</w:t>
      </w:r>
      <w:r>
        <w:br/>
      </w:r>
      <w:r>
        <w:rPr>
          <w:rStyle w:val="VerbatimChar"/>
        </w:rPr>
        <w:t xml:space="preserve">                                                            │</w:t>
      </w:r>
      <w:r>
        <w:br/>
      </w:r>
      <w:r>
        <w:rPr>
          <w:rStyle w:val="VerbatimChar"/>
        </w:rPr>
        <w:t xml:space="preserve">                                                            └── delega ejecución ──► one-scheduler (PX)</w:t>
      </w:r>
      <w:r>
        <w:br/>
      </w:r>
      <w:r>
        <w:rPr>
          <w:rStyle w:val="VerbatimChar"/>
        </w:rPr>
        <w:t xml:space="preserve">                                                                                            │</w:t>
      </w:r>
      <w:r>
        <w:br/>
      </w:r>
      <w:r>
        <w:rPr>
          <w:rStyle w:val="VerbatimChar"/>
        </w:rPr>
        <w:t xml:space="preserve">                                                                                            └── Notificaciones ──► Usuario</w:t>
      </w:r>
    </w:p>
    <w:p>
      <w:r>
        <w:pict>
          <v:rect style="width:0;height:1.5pt" o:hralign="center" o:hrstd="t" o:hr="t"/>
        </w:pict>
      </w:r>
    </w:p>
    <w:bookmarkEnd w:id="58"/>
    <w:bookmarkStart w:id="59" w:name="responsabilidades-por-equipo"/>
    <w:p>
      <w:pPr>
        <w:pStyle w:val="Heading3"/>
      </w:pPr>
      <w:r>
        <w:t xml:space="preserve">10.3 Responsabilidades por equipo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Equipo</w:t>
            </w:r>
          </w:p>
        </w:tc>
        <w:tc>
          <w:tcPr/>
          <w:p>
            <w:pPr>
              <w:pStyle w:val="Compact"/>
            </w:pPr>
            <w:r>
              <w:t xml:space="preserve">Componentes</w:t>
            </w:r>
          </w:p>
        </w:tc>
        <w:tc>
          <w:tcPr/>
          <w:p>
            <w:pPr>
              <w:pStyle w:val="Compact"/>
            </w:pPr>
            <w:r>
              <w:t xml:space="preserve">Tipo de desarrollo</w:t>
            </w:r>
          </w:p>
        </w:tc>
      </w:tr>
      <w:tr>
        <w:tc>
          <w:tcPr/>
          <w:p>
            <w:pPr>
              <w:pStyle w:val="Compact"/>
            </w:pPr>
            <w:r>
              <w:rPr>
                <w:b/>
                <w:bCs/>
              </w:rPr>
              <w:t xml:space="preserve">Team DAS</w:t>
            </w:r>
          </w:p>
        </w:tc>
        <w:tc>
          <w:tcPr/>
          <w:p>
            <w:pPr>
              <w:pStyle w:val="Compact"/>
            </w:pPr>
            <w:r>
              <w:t xml:space="preserve">DAS Front (opt-in UI), DAS Integration API, DAS Debt Source</w:t>
            </w:r>
          </w:p>
        </w:tc>
        <w:tc>
          <w:tcPr/>
          <w:p>
            <w:pPr>
              <w:pStyle w:val="Compact"/>
            </w:pPr>
            <w:r>
              <w:t xml:space="preserve">Nuevo (API + UI)</w:t>
            </w:r>
          </w:p>
        </w:tc>
      </w:tr>
      <w:tr>
        <w:tc>
          <w:tcPr/>
          <w:p>
            <w:pPr>
              <w:pStyle w:val="Compact"/>
            </w:pPr>
            <w:r>
              <w:rPr>
                <w:b/>
                <w:bCs/>
              </w:rPr>
              <w:t xml:space="preserve">Team Agenda (Palometas)</w:t>
            </w:r>
          </w:p>
        </w:tc>
        <w:tc>
          <w:tcPr/>
          <w:p>
            <w:pPr>
              <w:pStyle w:val="Compact"/>
            </w:pPr>
            <w:r>
              <w:t xml:space="preserve">sp-accounts-core-api, sp-debts-core-api, sp-debts-input-adapter, sp-debts-query-api, CPS, sp-debts-payments-scheduler, sp-debts-payments-match, sp-user-debt-configs</w:t>
            </w:r>
          </w:p>
        </w:tc>
        <w:tc>
          <w:tcPr/>
          <w:p>
            <w:pPr>
              <w:pStyle w:val="Compact"/>
            </w:pPr>
            <w:r>
              <w:t xml:space="preserve">Adaptación de servicios existentes</w:t>
            </w:r>
          </w:p>
        </w:tc>
      </w:tr>
      <w:tr>
        <w:tc>
          <w:tcPr/>
          <w:p>
            <w:pPr>
              <w:pStyle w:val="Compact"/>
            </w:pPr>
            <w:r>
              <w:rPr>
                <w:b/>
                <w:bCs/>
              </w:rPr>
              <w:t xml:space="preserve">Team Recurrentes</w:t>
            </w:r>
          </w:p>
        </w:tc>
        <w:tc>
          <w:tcPr/>
          <w:p>
            <w:pPr>
              <w:pStyle w:val="Compact"/>
            </w:pPr>
            <w:r>
              <w:t xml:space="preserve">wallet-sp-scheduled-payments-api</w:t>
            </w:r>
          </w:p>
        </w:tc>
        <w:tc>
          <w:tcPr/>
          <w:p>
            <w:pPr>
              <w:pStyle w:val="Compact"/>
            </w:pPr>
            <w:r>
              <w:t xml:space="preserve">Capa de abstracción existente</w:t>
            </w:r>
          </w:p>
        </w:tc>
      </w:tr>
      <w:tr>
        <w:tc>
          <w:tcPr/>
          <w:p>
            <w:pPr>
              <w:pStyle w:val="Compact"/>
            </w:pPr>
            <w:r>
              <w:rPr>
                <w:b/>
                <w:bCs/>
              </w:rPr>
              <w:t xml:space="preserve">Team PX</w:t>
            </w:r>
          </w:p>
        </w:tc>
        <w:tc>
          <w:tcPr/>
          <w:p>
            <w:pPr>
              <w:pStyle w:val="Compact"/>
            </w:pPr>
            <w:r>
              <w:t xml:space="preserve">one-scheduler, Notificaciones</w:t>
            </w:r>
          </w:p>
        </w:tc>
        <w:tc>
          <w:tcPr/>
          <w:p>
            <w:pPr>
              <w:pStyle w:val="Compact"/>
            </w:pPr>
            <w:r>
              <w:t xml:space="preserve">Servicios existentes</w:t>
            </w:r>
          </w:p>
        </w:tc>
      </w:tr>
      <w:tr>
        <w:tc>
          <w:tcPr/>
          <w:p>
            <w:pPr>
              <w:pStyle w:val="Compact"/>
            </w:pPr>
            <w:r>
              <w:rPr>
                <w:b/>
                <w:bCs/>
              </w:rPr>
              <w:t xml:space="preserve">Team Single Player</w:t>
            </w:r>
          </w:p>
        </w:tc>
        <w:tc>
          <w:tcPr/>
          <w:p>
            <w:pPr>
              <w:pStyle w:val="Compact"/>
            </w:pPr>
            <w:r>
              <w:t xml:space="preserve">Ocultamiento opt-in en Agenda para audiencia Guías DAS</w:t>
            </w:r>
          </w:p>
        </w:tc>
        <w:tc>
          <w:tcPr/>
          <w:p>
            <w:pPr>
              <w:pStyle w:val="Compact"/>
            </w:pPr>
            <w:r>
              <w:t xml:space="preserve">Configuración de audiencia</w:t>
            </w:r>
          </w:p>
        </w:tc>
      </w:tr>
    </w:tbl>
    <w:bookmarkEnd w:id="59"/>
    <w:bookmarkStart w:id="60" w:name="protocolos-de-comunicación"/>
    <w:p>
      <w:pPr>
        <w:pStyle w:val="Heading3"/>
      </w:pPr>
      <w:r>
        <w:t xml:space="preserve">10.4 Protocolos de comunicación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Protocolo</w:t>
            </w:r>
          </w:p>
        </w:tc>
        <w:tc>
          <w:tcPr/>
          <w:p>
            <w:pPr>
              <w:pStyle w:val="Compact"/>
            </w:pPr>
            <w:r>
              <w:t xml:space="preserve">Uso</w:t>
            </w:r>
          </w:p>
        </w:tc>
      </w:tr>
      <w:tr>
        <w:tc>
          <w:tcPr/>
          <w:p>
            <w:pPr>
              <w:pStyle w:val="Compact"/>
            </w:pPr>
            <w:r>
              <w:rPr>
                <w:b/>
                <w:bCs/>
              </w:rPr>
              <w:t xml:space="preserve">BigQueue (async)</w:t>
            </w:r>
          </w:p>
        </w:tc>
        <w:tc>
          <w:tcPr/>
          <w:p>
            <w:pPr>
              <w:pStyle w:val="Compact"/>
            </w:pPr>
            <w:r>
              <w:t xml:space="preserve">Eventos opt-in, comandos CREATE_DEBT, broadcast de eventos</w:t>
            </w:r>
          </w:p>
        </w:tc>
      </w:tr>
      <w:tr>
        <w:tc>
          <w:tcPr/>
          <w:p>
            <w:pPr>
              <w:pStyle w:val="Compact"/>
            </w:pPr>
            <w:r>
              <w:rPr>
                <w:b/>
                <w:bCs/>
              </w:rPr>
              <w:t xml:space="preserve">Stream (async)</w:t>
            </w:r>
          </w:p>
        </w:tc>
        <w:tc>
          <w:tcPr/>
          <w:p>
            <w:pPr>
              <w:pStyle w:val="Compact"/>
            </w:pPr>
            <w:r>
              <w:t xml:space="preserve">Ingesta de deudas entre sp-debts-core-api y sp-debts-input-adapter</w:t>
            </w:r>
          </w:p>
        </w:tc>
      </w:tr>
      <w:tr>
        <w:tc>
          <w:tcPr/>
          <w:p>
            <w:pPr>
              <w:pStyle w:val="Compact"/>
            </w:pPr>
            <w:r>
              <w:rPr>
                <w:b/>
                <w:bCs/>
              </w:rPr>
              <w:t xml:space="preserve">REST (sync)</w:t>
            </w:r>
          </w:p>
        </w:tc>
        <w:tc>
          <w:tcPr/>
          <w:p>
            <w:pPr>
              <w:pStyle w:val="Compact"/>
            </w:pPr>
            <w:r>
              <w:t xml:space="preserve">sp-debts-query-api → CPS → CDP; scheduler → wallet-sp-scheduled-payments-api</w:t>
            </w:r>
          </w:p>
        </w:tc>
      </w:tr>
      <w:tr>
        <w:tc>
          <w:tcPr/>
          <w:p>
            <w:pPr>
              <w:pStyle w:val="Compact"/>
            </w:pPr>
            <w:r>
              <w:rPr>
                <w:b/>
                <w:bCs/>
              </w:rPr>
              <w:t xml:space="preserve">Event Sourcing + CQRS</w:t>
            </w:r>
          </w:p>
        </w:tc>
        <w:tc>
          <w:tcPr/>
          <w:p>
            <w:pPr>
              <w:pStyle w:val="Compact"/>
            </w:pPr>
            <w:r>
              <w:t xml:space="preserve">Arquitectura interna de sp-debts-input-adapter</w:t>
            </w:r>
          </w:p>
        </w:tc>
      </w:tr>
    </w:tbl>
    <w:bookmarkEnd w:id="60"/>
    <w:bookmarkStart w:id="61" w:name="X5b6368fe5d986e916ee3424f3fa8046457d6d12"/>
    <w:p>
      <w:pPr>
        <w:pStyle w:val="Heading3"/>
      </w:pPr>
      <w:r>
        <w:t xml:space="preserve">10.5 Decisión de diseño: Deuda no visible en CDP</w:t>
      </w:r>
    </w:p>
    <w:p>
      <w:pPr>
        <w:pStyle w:val="FirstParagraph"/>
      </w:pPr>
      <w:r>
        <w:t xml:space="preserve">La deuda DAS se genera e importa al ecosistema de Agenda, pero el pago se ejecuta en la</w:t>
      </w:r>
      <w:r>
        <w:t xml:space="preserve"> </w:t>
      </w:r>
      <w:r>
        <w:rPr>
          <w:b/>
          <w:bCs/>
        </w:rPr>
        <w:t xml:space="preserve">misma operación (mismo día/hora)</w:t>
      </w:r>
      <w:r>
        <w:t xml:space="preserve">. El seller</w:t>
      </w:r>
      <w:r>
        <w:t xml:space="preserve"> </w:t>
      </w:r>
      <w:r>
        <w:rPr>
          <w:b/>
          <w:bCs/>
        </w:rPr>
        <w:t xml:space="preserve">no debe percibir una deuda pendiente</w:t>
      </w:r>
      <w:r>
        <w:t xml:space="preserve"> </w:t>
      </w:r>
      <w:r>
        <w:t xml:space="preserve">en CDP — solo el registro de pago exitoso. Este comportamiento requiere coordinación con el equipo de CDP para confirmar la ventana de visibilidad</w:t>
      </w:r>
      <w:r>
        <w:t xml:space="preserve"> </w:t>
      </w:r>
      <w:r>
        <w:rPr>
          <w:i/>
          <w:iCs/>
        </w:rPr>
        <w:t xml:space="preserve">(ver P4)</w:t>
      </w:r>
      <w:r>
        <w:t xml:space="preserve">.</w:t>
      </w:r>
    </w:p>
    <w:p>
      <w:r>
        <w:pict>
          <v:rect style="width:0;height:1.5pt" o:hralign="center" o:hrstd="t" o:hr="t"/>
        </w:pict>
      </w:r>
    </w:p>
    <w:bookmarkEnd w:id="61"/>
    <w:bookmarkEnd w:id="62"/>
    <w:bookmarkStart w:id="63" w:name="pendientes-open-questions"/>
    <w:p>
      <w:pPr>
        <w:pStyle w:val="Heading2"/>
      </w:pPr>
      <w:r>
        <w:t xml:space="preserve">11. Pendientes / 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Pregunta</w:t>
            </w:r>
          </w:p>
        </w:tc>
        <w:tc>
          <w:tcPr/>
          <w:p>
            <w:pPr>
              <w:pStyle w:val="Compact"/>
            </w:pPr>
            <w:r>
              <w:t xml:space="preserve">Owner</w:t>
            </w:r>
          </w:p>
        </w:tc>
        <w:tc>
          <w:tcPr/>
          <w:p>
            <w:pPr>
              <w:pStyle w:val="Compact"/>
            </w:pPr>
            <w:r>
              <w:t xml:space="preserve">Prioridad</w:t>
            </w:r>
          </w:p>
        </w:tc>
      </w:tr>
      <w:tr>
        <w:tc>
          <w:tcPr/>
          <w:p>
            <w:pPr>
              <w:pStyle w:val="Compact"/>
            </w:pPr>
            <w:r>
              <w:t xml:space="preserve">P1</w:t>
            </w:r>
          </w:p>
        </w:tc>
        <w:tc>
          <w:tcPr/>
          <w:p>
            <w:pPr>
              <w:pStyle w:val="Compact"/>
            </w:pPr>
            <w:r>
              <w:t xml:space="preserve">¿Se puede usar un segundo medio de pago además de Account Money?</w:t>
            </w:r>
          </w:p>
        </w:tc>
        <w:tc>
          <w:tcPr/>
          <w:p>
            <w:pPr>
              <w:pStyle w:val="Compact"/>
            </w:pPr>
            <w:r>
              <w:t xml:space="preserve">Equipo Single Player</w:t>
            </w:r>
          </w:p>
        </w:tc>
        <w:tc>
          <w:tcPr/>
          <w:p>
            <w:pPr>
              <w:pStyle w:val="Compact"/>
            </w:pPr>
            <w:r>
              <w:t xml:space="preserve">Alta</w:t>
            </w:r>
          </w:p>
        </w:tc>
      </w:tr>
      <w:tr>
        <w:tc>
          <w:tcPr/>
          <w:p>
            <w:pPr>
              <w:pStyle w:val="Compact"/>
            </w:pPr>
            <w:r>
              <w:t xml:space="preserve">P2</w:t>
            </w:r>
          </w:p>
        </w:tc>
        <w:tc>
          <w:tcPr/>
          <w:p>
            <w:pPr>
              <w:pStyle w:val="Compact"/>
            </w:pPr>
            <w:r>
              <w:t xml:space="preserve">¿Se valida saldo suficiente antes de emitir el boleto, o se emite y se notifica si falla el pago?</w:t>
            </w:r>
          </w:p>
        </w:tc>
        <w:tc>
          <w:tcPr/>
          <w:p>
            <w:pPr>
              <w:pStyle w:val="Compact"/>
            </w:pPr>
            <w:r>
              <w:t xml:space="preserve">Equipo Single Player</w:t>
            </w:r>
          </w:p>
        </w:tc>
        <w:tc>
          <w:tcPr/>
          <w:p>
            <w:pPr>
              <w:pStyle w:val="Compact"/>
            </w:pPr>
            <w:r>
              <w:t xml:space="preserve">Alta</w:t>
            </w:r>
          </w:p>
        </w:tc>
      </w:tr>
      <w:tr>
        <w:tc>
          <w:tcPr/>
          <w:p>
            <w:pPr>
              <w:pStyle w:val="Compact"/>
            </w:pPr>
            <w:r>
              <w:t xml:space="preserve">P3</w:t>
            </w:r>
          </w:p>
        </w:tc>
        <w:tc>
          <w:tcPr/>
          <w:p>
            <w:pPr>
              <w:pStyle w:val="Compact"/>
            </w:pPr>
            <w:r>
              <w:t xml:space="preserve">Mapear todos los códigos de error posibles en la emisión SERPRO y su tratamiento en el hub</w:t>
            </w:r>
          </w:p>
        </w:tc>
        <w:tc>
          <w:tcPr/>
          <w:p>
            <w:pPr>
              <w:pStyle w:val="Compact"/>
            </w:pPr>
            <w:r>
              <w:t xml:space="preserve">Equipo IT / SERPRO</w:t>
            </w:r>
          </w:p>
        </w:tc>
        <w:tc>
          <w:tcPr/>
          <w:p>
            <w:pPr>
              <w:pStyle w:val="Compact"/>
            </w:pPr>
            <w:r>
              <w:t xml:space="preserve">Alta</w:t>
            </w:r>
          </w:p>
        </w:tc>
      </w:tr>
      <w:tr>
        <w:tc>
          <w:tcPr/>
          <w:p>
            <w:pPr>
              <w:pStyle w:val="Compact"/>
            </w:pPr>
            <w:r>
              <w:t xml:space="preserve">P4</w:t>
            </w:r>
          </w:p>
        </w:tc>
        <w:tc>
          <w:tcPr/>
          <w:p>
            <w:pPr>
              <w:pStyle w:val="Compact"/>
            </w:pPr>
            <w:r>
              <w:t xml:space="preserve">Coordinar con CDP: ¿cómo evitar que el seller vea la deuda como</w:t>
            </w:r>
            <w:r>
              <w:t xml:space="preserve"> </w:t>
            </w:r>
            <w:r>
              <w:t xml:space="preserve">“pendiente”</w:t>
            </w:r>
            <w:r>
              <w:t xml:space="preserve"> </w:t>
            </w:r>
            <w:r>
              <w:t xml:space="preserve">antes del pago? ¿Impacto del alta de cuenta en sp-accounts-core-api al hacer opt-out?</w:t>
            </w:r>
          </w:p>
        </w:tc>
        <w:tc>
          <w:tcPr/>
          <w:p>
            <w:pPr>
              <w:pStyle w:val="Compact"/>
            </w:pPr>
            <w:r>
              <w:t xml:space="preserve">Equipo CDP / Agenda</w:t>
            </w:r>
          </w:p>
        </w:tc>
        <w:tc>
          <w:tcPr/>
          <w:p>
            <w:pPr>
              <w:pStyle w:val="Compact"/>
            </w:pPr>
            <w:r>
              <w:t xml:space="preserve">Alta</w:t>
            </w:r>
          </w:p>
        </w:tc>
      </w:tr>
      <w:tr>
        <w:tc>
          <w:tcPr/>
          <w:p>
            <w:pPr>
              <w:pStyle w:val="Compact"/>
            </w:pPr>
            <w:r>
              <w:t xml:space="preserve">P5</w:t>
            </w:r>
          </w:p>
        </w:tc>
        <w:tc>
          <w:tcPr/>
          <w:p>
            <w:pPr>
              <w:pStyle w:val="Compact"/>
            </w:pPr>
            <w:r>
              <w:t xml:space="preserve">¿Se envía notificación previa al cobro automático (ej: X días antes)?</w:t>
            </w:r>
          </w:p>
        </w:tc>
        <w:tc>
          <w:tcPr/>
          <w:p>
            <w:pPr>
              <w:pStyle w:val="Compact"/>
            </w:pPr>
            <w:r>
              <w:t xml:space="preserve">UX / Producto</w:t>
            </w:r>
          </w:p>
        </w:tc>
        <w:tc>
          <w:tcPr/>
          <w:p>
            <w:pPr>
              <w:pStyle w:val="Compact"/>
            </w:pPr>
            <w:r>
              <w:t xml:space="preserve">Media</w:t>
            </w:r>
          </w:p>
        </w:tc>
      </w:tr>
      <w:tr>
        <w:tc>
          <w:tcPr/>
          <w:p>
            <w:pPr>
              <w:pStyle w:val="Compact"/>
            </w:pPr>
            <w:r>
              <w:t xml:space="preserve">P6</w:t>
            </w:r>
          </w:p>
        </w:tc>
        <w:tc>
          <w:tcPr/>
          <w:p>
            <w:pPr>
              <w:pStyle w:val="Compact"/>
            </w:pPr>
            <w:r>
              <w:t xml:space="preserve">Especificación técnica completa de la DAS Integration API (contratos, endpoints, payloads BigQueue)</w:t>
            </w:r>
          </w:p>
        </w:tc>
        <w:tc>
          <w:tcPr/>
          <w:p>
            <w:pPr>
              <w:pStyle w:val="Compact"/>
            </w:pPr>
            <w:r>
              <w:t xml:space="preserve">Team DAS + Agenda</w:t>
            </w:r>
          </w:p>
        </w:tc>
        <w:tc>
          <w:tcPr/>
          <w:p>
            <w:pPr>
              <w:pStyle w:val="Compact"/>
            </w:pPr>
            <w:r>
              <w:t xml:space="preserve">Alta</w:t>
            </w:r>
          </w:p>
        </w:tc>
      </w:tr>
      <w:tr>
        <w:tc>
          <w:tcPr/>
          <w:p>
            <w:pPr>
              <w:pStyle w:val="Compact"/>
            </w:pPr>
            <w:r>
              <w:rPr>
                <w:strike/>
              </w:rPr>
              <w:t xml:space="preserve">P7</w:t>
            </w:r>
          </w:p>
        </w:tc>
        <w:tc>
          <w:tcPr/>
          <w:p>
            <w:pPr>
              <w:pStyle w:val="Compact"/>
            </w:pPr>
            <w:r>
              <w:rPr>
                <w:strike/>
              </w:rPr>
              <w:t xml:space="preserve">Confirmar flujo Figma actual en producción</w:t>
            </w:r>
          </w:p>
        </w:tc>
        <w:tc>
          <w:tcPr/>
          <w:p>
            <w:pPr>
              <w:pStyle w:val="Compact"/>
            </w:pPr>
            <w:r>
              <w:t xml:space="preserve">✅ Resuelto — Ver Sección 0</w:t>
            </w:r>
          </w:p>
        </w:tc>
        <w:tc>
          <w:tcPr/>
          <w:p>
            <w:pPr>
              <w:pStyle w:val="Compact"/>
            </w:pPr>
            <w:r>
              <w:t xml:space="preserve">—</w:t>
            </w:r>
          </w:p>
        </w:tc>
      </w:tr>
    </w:tbl>
    <w:p>
      <w:r>
        <w:pict>
          <v:rect style="width:0;height:1.5pt" o:hralign="center" o:hrstd="t" o:hr="t"/>
        </w:pict>
      </w:r>
    </w:p>
    <w:bookmarkEnd w:id="63"/>
    <w:bookmarkStart w:id="64" w:name="fuera-de-scope-v1"/>
    <w:p>
      <w:pPr>
        <w:pStyle w:val="Heading2"/>
      </w:pPr>
      <w:r>
        <w:t xml:space="preserve">12. Fuera de Scope (v1)</w:t>
      </w:r>
    </w:p>
    <w:p>
      <w:pPr>
        <w:pStyle w:val="Compact"/>
        <w:numPr>
          <w:ilvl w:val="0"/>
          <w:numId w:val="1010"/>
        </w:numPr>
      </w:pPr>
      <w:r>
        <w:t xml:space="preserve">Cobertura de períodos fiscales anteriores al opt-in</w:t>
      </w:r>
    </w:p>
    <w:p>
      <w:pPr>
        <w:pStyle w:val="Compact"/>
        <w:numPr>
          <w:ilvl w:val="0"/>
          <w:numId w:val="1010"/>
        </w:numPr>
      </w:pPr>
      <w:r>
        <w:t xml:space="preserve">Pagos automáticos para usuarios no-MEI</w:t>
      </w:r>
    </w:p>
    <w:p>
      <w:pPr>
        <w:pStyle w:val="Compact"/>
        <w:numPr>
          <w:ilvl w:val="0"/>
          <w:numId w:val="1010"/>
        </w:numPr>
      </w:pPr>
      <w:r>
        <w:t xml:space="preserve">Integración con Single Player para pagos automáticos (decisión tomada: no aplica)</w:t>
      </w:r>
    </w:p>
    <w:p>
      <w:pPr>
        <w:pStyle w:val="Compact"/>
        <w:numPr>
          <w:ilvl w:val="0"/>
          <w:numId w:val="1010"/>
        </w:numPr>
      </w:pPr>
      <w:r>
        <w:t xml:space="preserve">Emisión de boletos con mora/intereses (el rango 1–20 garantiza emisión antes del vencimiento)</w:t>
      </w:r>
    </w:p>
    <w:p>
      <w:pPr>
        <w:pStyle w:val="Compact"/>
        <w:numPr>
          <w:ilvl w:val="0"/>
          <w:numId w:val="1010"/>
        </w:numPr>
      </w:pPr>
      <w:r>
        <w:t xml:space="preserve">Segundo medio de pago (evaluación pendiente para v2)</w:t>
      </w:r>
    </w:p>
    <w:p>
      <w:r>
        <w:pict>
          <v:rect style="width:0;height:1.5pt" o:hralign="center" o:hrstd="t" o:hr="t"/>
        </w:pict>
      </w:r>
    </w:p>
    <w:bookmarkEnd w:id="64"/>
    <w:bookmarkStart w:id="65" w:name="referencias"/>
    <w:p>
      <w:pPr>
        <w:pStyle w:val="Heading2"/>
      </w:pPr>
      <w:r>
        <w:t xml:space="preserve">13. Referencias</w:t>
      </w:r>
    </w:p>
    <w:p>
      <w:pPr>
        <w:pStyle w:val="Compact"/>
        <w:numPr>
          <w:ilvl w:val="0"/>
          <w:numId w:val="1011"/>
        </w:numPr>
      </w:pPr>
      <w:r>
        <w:rPr>
          <w:b/>
          <w:bCs/>
        </w:rPr>
        <w:t xml:space="preserve">Figma producción (flujo actual Guías DAS):</w:t>
      </w:r>
      <w:r>
        <w:t xml:space="preserve"> </w:t>
      </w:r>
      <w:r>
        <w:t xml:space="preserve">https://www.figma.com/design/XuucFz5gCNAmq5IJGl0ZCS/Emisi%C3%B3n.y.Pago.Gu%C3%ADa.DAS.MLB_Banking.Seller_Q1.25?node-id=16910-29860</w:t>
      </w:r>
    </w:p>
    <w:p>
      <w:pPr>
        <w:pStyle w:val="Compact"/>
        <w:numPr>
          <w:ilvl w:val="0"/>
          <w:numId w:val="1011"/>
        </w:numPr>
      </w:pPr>
      <w:r>
        <w:rPr>
          <w:b/>
          <w:bCs/>
        </w:rPr>
        <w:t xml:space="preserve">Flujo arquitectura técnica:</w:t>
      </w:r>
      <w:r>
        <w:t xml:space="preserve"> </w:t>
      </w:r>
      <w:r>
        <w:t xml:space="preserve">Archivo</w:t>
      </w:r>
      <w:r>
        <w:t xml:space="preserve"> </w:t>
      </w:r>
      <w:r>
        <w:rPr>
          <w:rStyle w:val="VerbatimChar"/>
        </w:rPr>
        <w:t xml:space="preserve">.drawio</w:t>
      </w:r>
      <w:r>
        <w:t xml:space="preserve"> </w:t>
      </w:r>
      <w:r>
        <w:t xml:space="preserve">en carpeta Downloads (pendiente subir al repositorio)</w:t>
      </w:r>
    </w:p>
    <w:p>
      <w:pPr>
        <w:pStyle w:val="Compact"/>
        <w:numPr>
          <w:ilvl w:val="0"/>
          <w:numId w:val="1011"/>
        </w:numPr>
      </w:pPr>
      <w:r>
        <w:rPr>
          <w:b/>
          <w:bCs/>
        </w:rPr>
        <w:t xml:space="preserve">Tabla BigQuery de referencia:</w:t>
      </w:r>
      <w:r>
        <w:t xml:space="preserve"> </w:t>
      </w:r>
      <w:r>
        <w:rPr>
          <w:rStyle w:val="VerbatimChar"/>
        </w:rPr>
        <w:t xml:space="preserve">meli-bi-data.BT_MP_DAS_TAX_EVENTS</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figma.com/design/XuucFz5gCNAmq5IJGl0ZCS/Emisi%C3%B3n.y.Pago.Gu%C3%ADa.DAS.MLB_Banking.Seller_Q1.25" TargetMode="External" /></Relationships>
</file>

<file path=word/_rels/footnotes.xml.rels><?xml version="1.0" encoding="UTF-8"?><Relationships xmlns="http://schemas.openxmlformats.org/package/2006/relationships"><Relationship Type="http://schemas.openxmlformats.org/officeDocument/2006/relationships/hyperlink" Id="rId9" Target="https://www.figma.com/design/XuucFz5gCNAmq5IJGl0ZCS/Emisi%C3%B3n.y.Pago.Gu%C3%ADa.DAS.MLB_Banking.Seller_Q1.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2026-03-20T12:44:16Z</dcterms:created>
  <dcterms:modified xsi:type="dcterms:W3CDTF">2026-03-20T12:44:16Z</dcterms:modified>
</cp:coreProperties>
</file>

<file path=docProps/custom.xml><?xml version="1.0" encoding="utf-8"?>
<Properties xmlns="http://schemas.openxmlformats.org/officeDocument/2006/custom-properties" xmlns:vt="http://schemas.openxmlformats.org/officeDocument/2006/docPropsVTypes"/>
</file>