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5B63D3"/>
          <w:sz w:val="56"/>
          <w:szCs w:val="56"/>
        </w:rPr>
        <w:t xml:space="preserve">Ou Atterir</w:t>
      </w:r>
    </w:p>
    <w:p>
      <w:pPr>
        <w:spacing w:after="100"/>
        <w:jc w:val="center"/>
      </w:pPr>
      <w:r>
        <w:rPr>
          <w:rFonts w:ascii="Arial" w:cs="Arial" w:eastAsia="Arial" w:hAnsi="Arial"/>
          <w:color w:val="2D3748"/>
          <w:sz w:val="28"/>
          <w:szCs w:val="28"/>
        </w:rPr>
        <w:t xml:space="preserve">Spécification UX — Parcours d’atterrissage climatique</w:t>
      </w:r>
    </w:p>
    <w:p>
      <w:pPr>
        <w:spacing w:after="600"/>
        <w:jc w:val="center"/>
      </w:pPr>
      <w:r>
        <w:rPr>
          <w:rFonts w:ascii="Arial" w:cs="Arial" w:eastAsia="Arial" w:hAnsi="Arial"/>
          <w:color w:val="718096"/>
          <w:sz w:val="22"/>
          <w:szCs w:val="22"/>
        </w:rPr>
        <w:t xml:space="preserve">Document de référence pour l’implémentation</w:t>
      </w:r>
    </w:p>
    <w:p>
      <w:pPr>
        <w:spacing w:after="100"/>
        <w:jc w:val="center"/>
      </w:pPr>
      <w:r>
        <w:rPr>
          <w:rFonts w:ascii="Arial" w:cs="Arial" w:eastAsia="Arial" w:hAnsi="Arial"/>
          <w:color w:val="718096"/>
          <w:sz w:val="22"/>
          <w:szCs w:val="22"/>
        </w:rPr>
        <w:t xml:space="preserve">Version 1.0 — Mars 2026</w:t>
      </w:r>
    </w:p>
    <w:p>
      <w:r>
        <w:br w:type="page"/>
      </w:r>
    </w:p>
    <w:p>
      <w:pPr>
        <w:pStyle w:val="Heading1"/>
      </w:pPr>
      <w:r>
        <w:t xml:space="preserve">1. Philosophie du projet</w:t>
      </w:r>
    </w:p>
    <w:p>
      <w:pPr>
        <w:spacing w:after="120"/>
      </w:pPr>
      <w:r>
        <w:rPr>
          <w:rFonts w:ascii="Arial" w:cs="Arial" w:eastAsia="Arial" w:hAnsi="Arial"/>
          <w:sz w:val="22"/>
          <w:szCs w:val="22"/>
        </w:rPr>
        <w:t xml:space="preserve">Ou Atterir est un outil de prise de conscience. Son nom fait référence à la pensée de Bruno Latour : on ne peut plus réfléchir à où vivre sans prendre en compte les réalités du dérèglement climatique. L’expérience utilisateur traduit cette philosophie à travers trois principes fondamentaux.</w:t>
      </w:r>
    </w:p>
    <w:p>
      <w:pPr>
        <w:spacing w:after="200"/>
      </w:pPr>
    </w:p>
    <w:p>
      <w:pPr>
        <w:spacing w:after="120"/>
      </w:pPr>
      <w:r>
        <w:rPr>
          <w:rFonts w:ascii="Arial" w:cs="Arial" w:eastAsia="Arial" w:hAnsi="Arial"/>
          <w:b/>
          <w:bCs/>
          <w:sz w:val="22"/>
          <w:szCs w:val="22"/>
        </w:rPr>
        <w:t xml:space="preserve">Principe 1 — Enrichir, pas punir. </w:t>
      </w:r>
      <w:r>
        <w:rPr>
          <w:rFonts w:ascii="Arial" w:cs="Arial" w:eastAsia="Arial" w:hAnsi="Arial"/>
          <w:sz w:val="22"/>
          <w:szCs w:val="22"/>
        </w:rPr>
        <w:t xml:space="preserve">Le climat ne supprime pas de résultats de la liste de l’utilisateur. Il ajoute une couche de lecture sur les résultats existants. L’atterrissage est une révélation constructive, pas une sanction.</w:t>
      </w:r>
    </w:p>
    <w:p>
      <w:pPr>
        <w:spacing w:after="120"/>
      </w:pPr>
      <w:r>
        <w:rPr>
          <w:rFonts w:ascii="Arial" w:cs="Arial" w:eastAsia="Arial" w:hAnsi="Arial"/>
          <w:b/>
          <w:bCs/>
          <w:sz w:val="22"/>
          <w:szCs w:val="22"/>
        </w:rPr>
        <w:t xml:space="preserve">Principe 2 — Le cliquet. </w:t>
      </w:r>
      <w:r>
        <w:rPr>
          <w:rFonts w:ascii="Arial" w:cs="Arial" w:eastAsia="Arial" w:hAnsi="Arial"/>
          <w:sz w:val="22"/>
          <w:szCs w:val="22"/>
        </w:rPr>
        <w:t xml:space="preserve">Une fois que l’utilisateur a atterri (activé la vue climatique), il ne peut pas revenir en arrière dans la session. On ne peut pas « dé-voir » ce qu’on a vu. Même s’il modifie ses filtres classiques, les résultats restent triés et enrichis par les données climatiques.</w:t>
      </w:r>
    </w:p>
    <w:p>
      <w:pPr>
        <w:spacing w:after="120"/>
      </w:pPr>
      <w:r>
        <w:rPr>
          <w:rFonts w:ascii="Arial" w:cs="Arial" w:eastAsia="Arial" w:hAnsi="Arial"/>
          <w:b/>
          <w:bCs/>
          <w:sz w:val="22"/>
          <w:szCs w:val="22"/>
        </w:rPr>
        <w:t xml:space="preserve">Principe 3 — L’exposition est territoriale, pas individuelle. </w:t>
      </w:r>
      <w:r>
        <w:rPr>
          <w:rFonts w:ascii="Arial" w:cs="Arial" w:eastAsia="Arial" w:hAnsi="Arial"/>
          <w:sz w:val="22"/>
          <w:szCs w:val="22"/>
        </w:rPr>
        <w:t xml:space="preserve">Le score climatique mesure l’exposition objective d’un territoire, pas le confort personnel. Ce choix reflète l’idée que le dérèglement affecte tout l’environnement (agriculture, infrastructure, santé des proches), indépendamment de la tolérance personnelle de chacun.</w:t>
      </w:r>
    </w:p>
    <w:p>
      <w:r>
        <w:br w:type="page"/>
      </w:r>
    </w:p>
    <w:p>
      <w:pPr>
        <w:pStyle w:val="Heading1"/>
      </w:pPr>
      <w:r>
        <w:t xml:space="preserve">2. Parcours utilisateur en 4 temps</w:t>
      </w:r>
    </w:p>
    <w:p>
      <w:pPr>
        <w:spacing w:after="120"/>
      </w:pPr>
      <w:r>
        <w:rPr>
          <w:rFonts w:ascii="Arial" w:cs="Arial" w:eastAsia="Arial" w:hAnsi="Arial"/>
          <w:sz w:val="22"/>
          <w:szCs w:val="22"/>
        </w:rPr>
        <w:t xml:space="preserve">Le parcours est séquentiel et progressif. Chaque étape ajoute une couche de profondeur sans jamais revenir en arrière. C’est un entonnoir de prise de conscience.</w:t>
      </w:r>
    </w:p>
    <w:p>
      <w:pPr>
        <w:spacing w:after="200"/>
      </w:pPr>
    </w:p>
    <w:p>
      <w:pPr>
        <w:pStyle w:val="Heading2"/>
      </w:pPr>
      <w:r>
        <w:t xml:space="preserve">Temps 1 — « Ma commune idéale »</w:t>
      </w:r>
    </w:p>
    <w:p>
      <w:pPr>
        <w:spacing w:after="120"/>
      </w:pPr>
      <w:r>
        <w:rPr>
          <w:rFonts w:ascii="Arial" w:cs="Arial" w:eastAsia="Arial" w:hAnsi="Arial"/>
          <w:b/>
          <w:bCs/>
          <w:sz w:val="22"/>
          <w:szCs w:val="22"/>
        </w:rPr>
        <w:t xml:space="preserve">État de l’interface : </w:t>
      </w:r>
      <w:r>
        <w:rPr>
          <w:rFonts w:ascii="Arial" w:cs="Arial" w:eastAsia="Arial" w:hAnsi="Arial"/>
          <w:sz w:val="22"/>
          <w:szCs w:val="22"/>
        </w:rPr>
        <w:t xml:space="preserve">identique à l’app actuelle, sans données climatiques visibles.</w:t>
      </w:r>
    </w:p>
    <w:p>
      <w:pPr>
        <w:spacing w:after="120"/>
      </w:pPr>
      <w:r>
        <w:rPr>
          <w:rFonts w:ascii="Arial" w:cs="Arial" w:eastAsia="Arial" w:hAnsi="Arial"/>
          <w:sz w:val="22"/>
          <w:szCs w:val="22"/>
        </w:rPr>
        <w:t xml:space="preserve">L’utilisateur définit ses critères classiques via le panneau de filtres :</w:t>
      </w:r>
    </w:p>
    <w:p>
      <w:pPr>
        <w:pStyle w:val="ListParagraph"/>
        <w:numPr>
          <w:ilvl w:val="0"/>
          <w:numId w:val="2"/>
        </w:numPr>
        <w:spacing w:after="80"/>
      </w:pPr>
      <w:r>
        <w:rPr>
          <w:rFonts w:ascii="Arial" w:cs="Arial" w:eastAsia="Arial" w:hAnsi="Arial"/>
          <w:sz w:val="22"/>
          <w:szCs w:val="22"/>
        </w:rPr>
        <w:t xml:space="preserve">Géographie : département, tags (littoral, montagne, campagne), rayon isochrone</w:t>
      </w:r>
    </w:p>
    <w:p>
      <w:pPr>
        <w:pStyle w:val="ListParagraph"/>
        <w:numPr>
          <w:ilvl w:val="0"/>
          <w:numId w:val="2"/>
        </w:numPr>
        <w:spacing w:after="80"/>
      </w:pPr>
      <w:r>
        <w:rPr>
          <w:rFonts w:ascii="Arial" w:cs="Arial" w:eastAsia="Arial" w:hAnsi="Arial"/>
          <w:sz w:val="22"/>
          <w:szCs w:val="22"/>
        </w:rPr>
        <w:t xml:space="preserve">Population : hameau, village, bourg, petite ville, ville moyenne, grande ville, métropole</w:t>
      </w:r>
    </w:p>
    <w:p>
      <w:pPr>
        <w:pStyle w:val="ListParagraph"/>
        <w:numPr>
          <w:ilvl w:val="0"/>
          <w:numId w:val="2"/>
        </w:numPr>
        <w:spacing w:after="80"/>
      </w:pPr>
      <w:r>
        <w:rPr>
          <w:rFonts w:ascii="Arial" w:cs="Arial" w:eastAsia="Arial" w:hAnsi="Arial"/>
          <w:sz w:val="22"/>
          <w:szCs w:val="22"/>
        </w:rPr>
        <w:t xml:space="preserve">Services et équipements : commerces, écoles, santé, transports, sports/loisirs/culture</w:t>
      </w:r>
    </w:p>
    <w:p>
      <w:pPr>
        <w:pStyle w:val="ListParagraph"/>
        <w:numPr>
          <w:ilvl w:val="0"/>
          <w:numId w:val="2"/>
        </w:numPr>
        <w:spacing w:after="80"/>
      </w:pPr>
      <w:r>
        <w:rPr>
          <w:rFonts w:ascii="Arial" w:cs="Arial" w:eastAsia="Arial" w:hAnsi="Arial"/>
          <w:sz w:val="22"/>
          <w:szCs w:val="22"/>
        </w:rPr>
        <w:t xml:space="preserve">Politique : bloc politique, stabilité électorale</w:t>
      </w:r>
    </w:p>
    <w:p>
      <w:pPr>
        <w:pStyle w:val="ListParagraph"/>
        <w:numPr>
          <w:ilvl w:val="0"/>
          <w:numId w:val="2"/>
        </w:numPr>
        <w:spacing w:after="80"/>
      </w:pPr>
      <w:r>
        <w:rPr>
          <w:rFonts w:ascii="Arial" w:cs="Arial" w:eastAsia="Arial" w:hAnsi="Arial"/>
          <w:sz w:val="22"/>
          <w:szCs w:val="22"/>
        </w:rPr>
        <w:t xml:space="preserve">Immobilier : prix au m² maximum, tension du marché</w:t>
      </w:r>
    </w:p>
    <w:p>
      <w:pPr>
        <w:spacing w:after="200"/>
      </w:pPr>
    </w:p>
    <w:p>
      <w:pPr>
        <w:spacing w:after="120"/>
      </w:pPr>
      <w:r>
        <w:rPr>
          <w:rFonts w:ascii="Arial" w:cs="Arial" w:eastAsia="Arial" w:hAnsi="Arial"/>
          <w:sz w:val="22"/>
          <w:szCs w:val="22"/>
        </w:rPr>
        <w:t xml:space="preserve">Il obtient une liste de communes triées par ordre alphabétique (comportement actuel). Les cartes de communes dans la liste sont sobres : nom, code postal, département, maire.</w:t>
      </w:r>
    </w:p>
    <w:p>
      <w:pPr>
        <w:spacing w:after="200"/>
      </w:pPr>
    </w:p>
    <w:p>
      <w:pPr>
        <w:spacing w:after="120"/>
      </w:pPr>
      <w:r>
        <w:rPr>
          <w:rFonts w:ascii="Arial" w:cs="Arial" w:eastAsia="Arial" w:hAnsi="Arial"/>
          <w:b/>
          <w:bCs/>
          <w:sz w:val="22"/>
          <w:szCs w:val="22"/>
        </w:rPr>
        <w:t xml:space="preserve">Point clé : </w:t>
      </w:r>
      <w:r>
        <w:rPr>
          <w:rFonts w:ascii="Arial" w:cs="Arial" w:eastAsia="Arial" w:hAnsi="Arial"/>
          <w:sz w:val="22"/>
          <w:szCs w:val="22"/>
        </w:rPr>
        <w:t xml:space="preserve">la section « Environnement et risques » du panneau de filtres est grisée / verrouillée. Un texte court indique : « Explorez d’abord vos critères, puis atterrissez pour débloquer les filtres climatiques. » Cela crée de la curiosité plutôt que de la frustration.</w:t>
      </w:r>
    </w:p>
    <w:p>
      <w:pPr>
        <w:spacing w:after="200"/>
      </w:pPr>
    </w:p>
    <w:p>
      <w:pPr>
        <w:pStyle w:val="Heading2"/>
      </w:pPr>
      <w:r>
        <w:t xml:space="preserve">Temps 2 — « Atterrir »</w:t>
      </w:r>
    </w:p>
    <w:p>
      <w:pPr>
        <w:spacing w:after="120"/>
      </w:pPr>
      <w:r>
        <w:rPr>
          <w:rFonts w:ascii="Arial" w:cs="Arial" w:eastAsia="Arial" w:hAnsi="Arial"/>
          <w:b/>
          <w:bCs/>
          <w:sz w:val="22"/>
          <w:szCs w:val="22"/>
        </w:rPr>
        <w:t xml:space="preserve">Élément déclencheur : </w:t>
      </w:r>
      <w:r>
        <w:rPr>
          <w:rFonts w:ascii="Arial" w:cs="Arial" w:eastAsia="Arial" w:hAnsi="Arial"/>
          <w:sz w:val="22"/>
          <w:szCs w:val="22"/>
        </w:rPr>
        <w:t xml:space="preserve">un bouton visible dans l’interface principale (pas caché dans les filtres). Libellé de travail : « Prévisions 2050 » ou « Atterrir » (nom à affiner).</w:t>
      </w:r>
    </w:p>
    <w:p>
      <w:pPr>
        <w:spacing w:after="200"/>
      </w:pPr>
    </w:p>
    <w:p>
      <w:pPr>
        <w:spacing w:after="120"/>
      </w:pPr>
      <w:r>
        <w:rPr>
          <w:rFonts w:ascii="Arial" w:cs="Arial" w:eastAsia="Arial" w:hAnsi="Arial"/>
          <w:sz w:val="22"/>
          <w:szCs w:val="22"/>
        </w:rPr>
        <w:t xml:space="preserve">Au clic, l’interface se transforme :</w:t>
      </w:r>
    </w:p>
    <w:p>
      <w:pPr>
        <w:pStyle w:val="ListParagraph"/>
        <w:numPr>
          <w:ilvl w:val="0"/>
          <w:numId w:val="3"/>
        </w:numPr>
        <w:spacing w:after="80"/>
      </w:pPr>
      <w:r>
        <w:rPr>
          <w:rFonts w:ascii="Arial" w:cs="Arial" w:eastAsia="Arial" w:hAnsi="Arial"/>
          <w:sz w:val="22"/>
          <w:szCs w:val="22"/>
        </w:rPr>
        <w:t xml:space="preserve">La liste existante se retrie par score d’exposition climatique (commune la moins impactée en premier, la plus impactée en dernier).</w:t>
      </w:r>
    </w:p>
    <w:p>
      <w:pPr>
        <w:pStyle w:val="ListParagraph"/>
        <w:numPr>
          <w:ilvl w:val="0"/>
          <w:numId w:val="3"/>
        </w:numPr>
        <w:spacing w:after="80"/>
      </w:pPr>
      <w:r>
        <w:rPr>
          <w:rFonts w:ascii="Arial" w:cs="Arial" w:eastAsia="Arial" w:hAnsi="Arial"/>
          <w:sz w:val="22"/>
          <w:szCs w:val="22"/>
        </w:rPr>
        <w:t xml:space="preserve">Chaque carte de commune dans la liste s’enrichit de 5 indicateurs visuels synthétiques, un par famille climatique (voir section 3).</w:t>
      </w:r>
    </w:p>
    <w:p>
      <w:pPr>
        <w:pStyle w:val="ListParagraph"/>
        <w:numPr>
          <w:ilvl w:val="0"/>
          <w:numId w:val="3"/>
        </w:numPr>
        <w:spacing w:after="80"/>
      </w:pPr>
      <w:r>
        <w:rPr>
          <w:rFonts w:ascii="Arial" w:cs="Arial" w:eastAsia="Arial" w:hAnsi="Arial"/>
          <w:sz w:val="22"/>
          <w:szCs w:val="22"/>
        </w:rPr>
        <w:t xml:space="preserve">La carte Leaflet reflète également le score (couleur des marqueurs ou gradient).</w:t>
      </w:r>
    </w:p>
    <w:p>
      <w:pPr>
        <w:pStyle w:val="ListParagraph"/>
        <w:numPr>
          <w:ilvl w:val="0"/>
          <w:numId w:val="3"/>
        </w:numPr>
        <w:spacing w:after="80"/>
      </w:pPr>
      <w:r>
        <w:rPr>
          <w:rFonts w:ascii="Arial" w:cs="Arial" w:eastAsia="Arial" w:hAnsi="Arial"/>
          <w:sz w:val="22"/>
          <w:szCs w:val="22"/>
        </w:rPr>
        <w:t xml:space="preserve">Un marqueur visuel persistant apparaît dans le header ou à côté du bouton filtres pour indiquer que l’utilisateur est « atterri » et voit les données 2050.</w:t>
      </w:r>
    </w:p>
    <w:p>
      <w:pPr>
        <w:pStyle w:val="ListParagraph"/>
        <w:numPr>
          <w:ilvl w:val="0"/>
          <w:numId w:val="3"/>
        </w:numPr>
        <w:spacing w:after="80"/>
      </w:pPr>
      <w:r>
        <w:rPr>
          <w:rFonts w:ascii="Arial" w:cs="Arial" w:eastAsia="Arial" w:hAnsi="Arial"/>
          <w:sz w:val="22"/>
          <w:szCs w:val="22"/>
        </w:rPr>
        <w:t xml:space="preserve">La section « Environnement et risques » du panneau de filtres se déverrouille.</w:t>
      </w:r>
    </w:p>
    <w:p>
      <w:pPr>
        <w:spacing w:after="200"/>
      </w:pPr>
    </w:p>
    <w:p>
      <w:pPr>
        <w:spacing w:after="120"/>
      </w:pPr>
      <w:r>
        <w:rPr>
          <w:rFonts w:ascii="Arial" w:cs="Arial" w:eastAsia="Arial" w:hAnsi="Arial"/>
          <w:b/>
          <w:bCs/>
          <w:sz w:val="22"/>
          <w:szCs w:val="22"/>
        </w:rPr>
        <w:t xml:space="preserve">Règle du cliquet : </w:t>
      </w:r>
      <w:r>
        <w:rPr>
          <w:rFonts w:ascii="Arial" w:cs="Arial" w:eastAsia="Arial" w:hAnsi="Arial"/>
          <w:sz w:val="22"/>
          <w:szCs w:val="22"/>
        </w:rPr>
        <w:t xml:space="preserve">ce bouton est irréversible dans la session. Une fois activé, toute modification ultérieure des filtres classiques produit des résultats qui arrivent déjà triés par score climatique et enrichis visuellement.</w:t>
      </w:r>
    </w:p>
    <w:p>
      <w:pPr>
        <w:spacing w:after="200"/>
      </w:pPr>
    </w:p>
    <w:p>
      <w:pPr>
        <w:pStyle w:val="Heading2"/>
      </w:pPr>
      <w:r>
        <w:t xml:space="preserve">Temps 3 — « Ajuster mes priorités » (optionnel)</w:t>
      </w:r>
    </w:p>
    <w:p>
      <w:pPr>
        <w:spacing w:after="120"/>
      </w:pPr>
      <w:r>
        <w:rPr>
          <w:rFonts w:ascii="Arial" w:cs="Arial" w:eastAsia="Arial" w:hAnsi="Arial"/>
          <w:sz w:val="22"/>
          <w:szCs w:val="22"/>
        </w:rPr>
        <w:t xml:space="preserve">Après avoir exploré la liste triée par score brut, l’utilisateur peut accéder à un panneau « Ajuster mes priorités ».</w:t>
      </w:r>
    </w:p>
    <w:p>
      <w:pPr>
        <w:spacing w:after="200"/>
      </w:pPr>
    </w:p>
    <w:p>
      <w:pPr>
        <w:spacing w:after="120"/>
      </w:pPr>
      <w:r>
        <w:rPr>
          <w:rFonts w:ascii="Arial" w:cs="Arial" w:eastAsia="Arial" w:hAnsi="Arial"/>
          <w:sz w:val="22"/>
          <w:szCs w:val="22"/>
        </w:rPr>
        <w:t xml:space="preserve">Ce panneau propose 5 curseurs de pondération, un par famille climatique :</w:t>
      </w:r>
    </w:p>
    <w:p>
      <w:pPr>
        <w:pStyle w:val="ListParagraph"/>
        <w:numPr>
          <w:ilvl w:val="0"/>
          <w:numId w:val="2"/>
        </w:numPr>
        <w:spacing w:after="80"/>
      </w:pPr>
      <w:r>
        <w:rPr>
          <w:rFonts w:ascii="Arial" w:cs="Arial" w:eastAsia="Arial" w:hAnsi="Arial"/>
          <w:sz w:val="22"/>
          <w:szCs w:val="22"/>
        </w:rPr>
        <w:t xml:space="preserve">Chaleur / habitabilité thermique</w:t>
      </w:r>
    </w:p>
    <w:p>
      <w:pPr>
        <w:pStyle w:val="ListParagraph"/>
        <w:numPr>
          <w:ilvl w:val="0"/>
          <w:numId w:val="2"/>
        </w:numPr>
        <w:spacing w:after="80"/>
      </w:pPr>
      <w:r>
        <w:rPr>
          <w:rFonts w:ascii="Arial" w:cs="Arial" w:eastAsia="Arial" w:hAnsi="Arial"/>
          <w:sz w:val="22"/>
          <w:szCs w:val="22"/>
        </w:rPr>
        <w:t xml:space="preserve">Eau / sécheresse</w:t>
      </w:r>
    </w:p>
    <w:p>
      <w:pPr>
        <w:pStyle w:val="ListParagraph"/>
        <w:numPr>
          <w:ilvl w:val="0"/>
          <w:numId w:val="2"/>
        </w:numPr>
        <w:spacing w:after="80"/>
      </w:pPr>
      <w:r>
        <w:rPr>
          <w:rFonts w:ascii="Arial" w:cs="Arial" w:eastAsia="Arial" w:hAnsi="Arial"/>
          <w:sz w:val="22"/>
          <w:szCs w:val="22"/>
        </w:rPr>
        <w:t xml:space="preserve">Risques / événements extrêmes</w:t>
      </w:r>
    </w:p>
    <w:p>
      <w:pPr>
        <w:pStyle w:val="ListParagraph"/>
        <w:numPr>
          <w:ilvl w:val="0"/>
          <w:numId w:val="2"/>
        </w:numPr>
        <w:spacing w:after="80"/>
      </w:pPr>
      <w:r>
        <w:rPr>
          <w:rFonts w:ascii="Arial" w:cs="Arial" w:eastAsia="Arial" w:hAnsi="Arial"/>
          <w:sz w:val="22"/>
          <w:szCs w:val="22"/>
        </w:rPr>
        <w:t xml:space="preserve">Qualité de l’air</w:t>
      </w:r>
    </w:p>
    <w:p>
      <w:pPr>
        <w:pStyle w:val="ListParagraph"/>
        <w:numPr>
          <w:ilvl w:val="0"/>
          <w:numId w:val="2"/>
        </w:numPr>
        <w:spacing w:after="80"/>
      </w:pPr>
      <w:r>
        <w:rPr>
          <w:rFonts w:ascii="Arial" w:cs="Arial" w:eastAsia="Arial" w:hAnsi="Arial"/>
          <w:sz w:val="22"/>
          <w:szCs w:val="22"/>
        </w:rPr>
        <w:t xml:space="preserve">Pollution des sols</w:t>
      </w:r>
    </w:p>
    <w:p>
      <w:pPr>
        <w:spacing w:after="200"/>
      </w:pPr>
    </w:p>
    <w:p>
      <w:pPr>
        <w:spacing w:after="120"/>
      </w:pPr>
      <w:r>
        <w:rPr>
          <w:rFonts w:ascii="Arial" w:cs="Arial" w:eastAsia="Arial" w:hAnsi="Arial"/>
          <w:sz w:val="22"/>
          <w:szCs w:val="22"/>
        </w:rPr>
        <w:t xml:space="preserve">Règles de fonctionnement :</w:t>
      </w:r>
    </w:p>
    <w:p>
      <w:pPr>
        <w:pStyle w:val="ListParagraph"/>
        <w:numPr>
          <w:ilvl w:val="0"/>
          <w:numId w:val="2"/>
        </w:numPr>
        <w:spacing w:after="80"/>
      </w:pPr>
      <w:r>
        <w:rPr>
          <w:rFonts w:ascii="Arial" w:cs="Arial" w:eastAsia="Arial" w:hAnsi="Arial"/>
          <w:sz w:val="22"/>
          <w:szCs w:val="22"/>
        </w:rPr>
        <w:t xml:space="preserve">Par défaut, tous les curseurs sont à poids égal.</w:t>
      </w:r>
    </w:p>
    <w:p>
      <w:pPr>
        <w:pStyle w:val="ListParagraph"/>
        <w:numPr>
          <w:ilvl w:val="0"/>
          <w:numId w:val="2"/>
        </w:numPr>
        <w:spacing w:after="80"/>
      </w:pPr>
      <w:r>
        <w:rPr>
          <w:rFonts w:ascii="Arial" w:cs="Arial" w:eastAsia="Arial" w:hAnsi="Arial"/>
          <w:sz w:val="22"/>
          <w:szCs w:val="22"/>
        </w:rPr>
        <w:t xml:space="preserve">L’utilisateur peut augmenter ou diminuer le poids de chaque famille.</w:t>
      </w:r>
    </w:p>
    <w:p>
      <w:pPr>
        <w:pStyle w:val="ListParagraph"/>
        <w:numPr>
          <w:ilvl w:val="0"/>
          <w:numId w:val="2"/>
        </w:numPr>
        <w:spacing w:after="80"/>
      </w:pPr>
      <w:r>
        <w:rPr>
          <w:rFonts w:ascii="Arial" w:cs="Arial" w:eastAsia="Arial" w:hAnsi="Arial"/>
          <w:sz w:val="22"/>
          <w:szCs w:val="22"/>
        </w:rPr>
        <w:t xml:space="preserve">Il est impossible de mettre toutes les familles à zéro. Au minimum une famille reste active.</w:t>
      </w:r>
    </w:p>
    <w:p>
      <w:pPr>
        <w:pStyle w:val="ListParagraph"/>
        <w:numPr>
          <w:ilvl w:val="0"/>
          <w:numId w:val="2"/>
        </w:numPr>
        <w:spacing w:after="80"/>
      </w:pPr>
      <w:r>
        <w:rPr>
          <w:rFonts w:ascii="Arial" w:cs="Arial" w:eastAsia="Arial" w:hAnsi="Arial"/>
          <w:sz w:val="22"/>
          <w:szCs w:val="22"/>
        </w:rPr>
        <w:t xml:space="preserve">Si l’utilisateur tente de tout désactiver, un message s’affiche : « Chaque commune française est concernée par au moins une dimension du dérèglement climatique. »</w:t>
      </w:r>
    </w:p>
    <w:p>
      <w:pPr>
        <w:pStyle w:val="ListParagraph"/>
        <w:numPr>
          <w:ilvl w:val="0"/>
          <w:numId w:val="2"/>
        </w:numPr>
        <w:spacing w:after="80"/>
      </w:pPr>
      <w:r>
        <w:rPr>
          <w:rFonts w:ascii="Arial" w:cs="Arial" w:eastAsia="Arial" w:hAnsi="Arial"/>
          <w:sz w:val="22"/>
          <w:szCs w:val="22"/>
        </w:rPr>
        <w:t xml:space="preserve">Le retri de la liste est instantané à chaque modification de curseur.</w:t>
      </w:r>
    </w:p>
    <w:p>
      <w:pPr>
        <w:spacing w:after="200"/>
      </w:pPr>
    </w:p>
    <w:p>
      <w:pPr>
        <w:pStyle w:val="Heading2"/>
      </w:pPr>
      <w:r>
        <w:t xml:space="preserve">Temps 4 — Filtres climatiques durs (optionnel)</w:t>
      </w:r>
    </w:p>
    <w:p>
      <w:pPr>
        <w:spacing w:after="120"/>
      </w:pPr>
      <w:r>
        <w:rPr>
          <w:rFonts w:ascii="Arial" w:cs="Arial" w:eastAsia="Arial" w:hAnsi="Arial"/>
          <w:sz w:val="22"/>
          <w:szCs w:val="22"/>
        </w:rPr>
        <w:t xml:space="preserve">La section « Environnement et risques » du panneau de filtres, désormais déverrouillée, permet de poser des limites absolues.</w:t>
      </w:r>
    </w:p>
    <w:p>
      <w:pPr>
        <w:spacing w:after="200"/>
      </w:pPr>
    </w:p>
    <w:p>
      <w:pPr>
        <w:spacing w:after="120"/>
      </w:pPr>
      <w:r>
        <w:rPr>
          <w:rFonts w:ascii="Arial" w:cs="Arial" w:eastAsia="Arial" w:hAnsi="Arial"/>
          <w:sz w:val="22"/>
          <w:szCs w:val="22"/>
        </w:rPr>
        <w:t xml:space="preserve">Exemples de filtres durs :</w:t>
      </w:r>
    </w:p>
    <w:p>
      <w:pPr>
        <w:pStyle w:val="ListParagraph"/>
        <w:numPr>
          <w:ilvl w:val="0"/>
          <w:numId w:val="2"/>
        </w:numPr>
        <w:spacing w:after="80"/>
      </w:pPr>
      <w:r>
        <w:rPr>
          <w:rFonts w:ascii="Arial" w:cs="Arial" w:eastAsia="Arial" w:hAnsi="Arial"/>
          <w:sz w:val="22"/>
          <w:szCs w:val="22"/>
        </w:rPr>
        <w:t xml:space="preserve">« Maximum 15 jours de vague de chaleur par an en 2050 »</w:t>
      </w:r>
    </w:p>
    <w:p>
      <w:pPr>
        <w:pStyle w:val="ListParagraph"/>
        <w:numPr>
          <w:ilvl w:val="0"/>
          <w:numId w:val="2"/>
        </w:numPr>
        <w:spacing w:after="80"/>
      </w:pPr>
      <w:r>
        <w:rPr>
          <w:rFonts w:ascii="Arial" w:cs="Arial" w:eastAsia="Arial" w:hAnsi="Arial"/>
          <w:sz w:val="22"/>
          <w:szCs w:val="22"/>
        </w:rPr>
        <w:t xml:space="preserve">« Qualité de l’air : bonne ou moyenne uniquement »</w:t>
      </w:r>
    </w:p>
    <w:p>
      <w:pPr>
        <w:pStyle w:val="ListParagraph"/>
        <w:numPr>
          <w:ilvl w:val="0"/>
          <w:numId w:val="2"/>
        </w:numPr>
        <w:spacing w:after="80"/>
      </w:pPr>
      <w:r>
        <w:rPr>
          <w:rFonts w:ascii="Arial" w:cs="Arial" w:eastAsia="Arial" w:hAnsi="Arial"/>
          <w:sz w:val="22"/>
          <w:szCs w:val="22"/>
        </w:rPr>
        <w:t xml:space="preserve">« Risques naturels : peu exposé uniquement »</w:t>
      </w:r>
    </w:p>
    <w:p>
      <w:pPr>
        <w:spacing w:after="200"/>
      </w:pPr>
    </w:p>
    <w:p>
      <w:pPr>
        <w:spacing w:after="120"/>
      </w:pPr>
      <w:r>
        <w:rPr>
          <w:rFonts w:ascii="Arial" w:cs="Arial" w:eastAsia="Arial" w:hAnsi="Arial"/>
          <w:sz w:val="22"/>
          <w:szCs w:val="22"/>
        </w:rPr>
        <w:t xml:space="preserve">Contrairement à la pondération qui réorganise, les filtres durs éliminent des communes de la liste. Les deux mécanismes coexistent : le filtre élimine, le score ordonne.</w:t>
      </w:r>
    </w:p>
    <w:p>
      <w:r>
        <w:br w:type="page"/>
      </w:r>
    </w:p>
    <w:p>
      <w:pPr>
        <w:pStyle w:val="Heading1"/>
      </w:pPr>
      <w:r>
        <w:t xml:space="preserve">3. Les 5 familles climatiques</w:t>
      </w:r>
    </w:p>
    <w:p>
      <w:pPr>
        <w:spacing w:after="120"/>
      </w:pPr>
      <w:r>
        <w:rPr>
          <w:rFonts w:ascii="Arial" w:cs="Arial" w:eastAsia="Arial" w:hAnsi="Arial"/>
          <w:sz w:val="22"/>
          <w:szCs w:val="22"/>
        </w:rPr>
        <w:t xml:space="preserve">Chaque famille regroupe des indicateurs qui décrivent une même réalité vécue. Le regroupement sert à la fois la lisibilité (5 familles plutôt que 12 indicateurs) et l’honnêteté (pas de score unique réducteur).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BD5E0" w:sz="1"/>
              <w:left w:val="single" w:color="CBD5E0" w:sz="1"/>
              <w:bottom w:val="single" w:color="CBD5E0" w:sz="1"/>
              <w:right w:val="single" w:color="CBD5E0" w:sz="1"/>
            </w:tcBorders>
            <w:shd w:fill="E8E9F9" w:val="clear"/>
            <w:tcMar>
              <w:top w:type="dxa" w:w="80"/>
              <w:left w:type="dxa" w:w="120"/>
              <w:bottom w:type="dxa" w:w="80"/>
              <w:right w:type="dxa" w:w="120"/>
            </w:tcMar>
          </w:tcPr>
          <w:p>
            <w:r>
              <w:rPr>
                <w:rFonts w:ascii="Arial" w:cs="Arial" w:eastAsia="Arial" w:hAnsi="Arial"/>
                <w:b/>
                <w:bCs/>
                <w:sz w:val="20"/>
                <w:szCs w:val="20"/>
              </w:rPr>
              <w:t xml:space="preserve">Famille</w:t>
            </w:r>
          </w:p>
        </w:tc>
        <w:tc>
          <w:tcPr>
            <w:tcW w:type="dxa" w:w="3513"/>
            <w:tcBorders>
              <w:top w:val="single" w:color="CBD5E0" w:sz="1"/>
              <w:left w:val="single" w:color="CBD5E0" w:sz="1"/>
              <w:bottom w:val="single" w:color="CBD5E0" w:sz="1"/>
              <w:right w:val="single" w:color="CBD5E0" w:sz="1"/>
            </w:tcBorders>
            <w:shd w:fill="E8E9F9" w:val="clear"/>
            <w:tcMar>
              <w:top w:type="dxa" w:w="80"/>
              <w:left w:type="dxa" w:w="120"/>
              <w:bottom w:type="dxa" w:w="80"/>
              <w:right w:type="dxa" w:w="120"/>
            </w:tcMar>
          </w:tcPr>
          <w:p>
            <w:r>
              <w:rPr>
                <w:rFonts w:ascii="Arial" w:cs="Arial" w:eastAsia="Arial" w:hAnsi="Arial"/>
                <w:b/>
                <w:bCs/>
                <w:sz w:val="20"/>
                <w:szCs w:val="20"/>
              </w:rPr>
              <w:t xml:space="preserve">Indicateurs inclus</w:t>
            </w:r>
          </w:p>
        </w:tc>
        <w:tc>
          <w:tcPr>
            <w:tcW w:type="dxa" w:w="3513"/>
            <w:tcBorders>
              <w:top w:val="single" w:color="CBD5E0" w:sz="1"/>
              <w:left w:val="single" w:color="CBD5E0" w:sz="1"/>
              <w:bottom w:val="single" w:color="CBD5E0" w:sz="1"/>
              <w:right w:val="single" w:color="CBD5E0" w:sz="1"/>
            </w:tcBorders>
            <w:shd w:fill="E8E9F9" w:val="clear"/>
            <w:tcMar>
              <w:top w:type="dxa" w:w="80"/>
              <w:left w:type="dxa" w:w="120"/>
              <w:bottom w:type="dxa" w:w="80"/>
              <w:right w:type="dxa" w:w="120"/>
            </w:tcMar>
          </w:tcPr>
          <w:p>
            <w:r>
              <w:rPr>
                <w:rFonts w:ascii="Arial" w:cs="Arial" w:eastAsia="Arial" w:hAnsi="Arial"/>
                <w:b/>
                <w:bCs/>
                <w:sz w:val="20"/>
                <w:szCs w:val="20"/>
              </w:rPr>
              <w:t xml:space="preserve">Indicateur phare (affiché sur la carte commune)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Chaleur / habitabilité thermique</w:t>
            </w:r>
          </w:p>
        </w:tc>
        <w:tc>
          <w:tcPr>
            <w:tcW w:type="dxa" w:w="35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S3 vagues de chaleur, S1 jours très chauds ≥35°C, S2 nuits chaudes &gt;20°C, S4 vagues de froid, ICU îlot de chaleur</w:t>
            </w:r>
          </w:p>
        </w:tc>
        <w:tc>
          <w:tcPr>
            <w:tcW w:type="dxa" w:w="35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S3 — Vagues de chaleur (jours/an en 2050). Compréhensible et universel.</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Eau / sécheresse</w:t>
            </w:r>
          </w:p>
        </w:tc>
        <w:tc>
          <w:tcPr>
            <w:tcW w:type="dxa" w:w="35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R5 sol sec en été, G4 jours de pluie en été, R2 précipitations extrêmes</w:t>
            </w:r>
          </w:p>
        </w:tc>
        <w:tc>
          <w:tcPr>
            <w:tcW w:type="dxa" w:w="35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R5 — Jours de sol sec en été (2050). Concret et lié au quotidien.</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Risques / événements extrêmes</w:t>
            </w:r>
          </w:p>
        </w:tc>
        <w:tc>
          <w:tcPr>
            <w:tcW w:type="dxa" w:w="35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R4 feux de végétation, R2 précipitations extrêmes, R3 montée du niveau marin (si disponible), risques naturels répertoriés</w:t>
            </w:r>
          </w:p>
        </w:tc>
        <w:tc>
          <w:tcPr>
            <w:tcW w:type="dxa" w:w="35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Nombre de risques répertoriés + R4 feux. Synthèse directe.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Qualité de l’air</w:t>
            </w:r>
          </w:p>
        </w:tc>
        <w:tc>
          <w:tcPr>
            <w:tcW w:type="dxa" w:w="35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PM2.5 (moyenne annuelle, source Agence européenne)</w:t>
            </w:r>
          </w:p>
        </w:tc>
        <w:tc>
          <w:tcPr>
            <w:tcW w:type="dxa" w:w="35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PM2.5 en µg/m³. Indicateur unique, directement lisible.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Pollution des sols</w:t>
            </w:r>
          </w:p>
        </w:tc>
        <w:tc>
          <w:tcPr>
            <w:tcW w:type="dxa" w:w="35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Données à sourcer (à venir)</w:t>
            </w:r>
          </w:p>
        </w:tc>
        <w:tc>
          <w:tcPr>
            <w:tcW w:type="dxa" w:w="35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À définir quand la source de données sera identifiée.</w:t>
            </w:r>
          </w:p>
        </w:tc>
      </w:tr>
    </w:tbl>
    <w:p>
      <w:pPr>
        <w:spacing w:after="200"/>
      </w:pPr>
    </w:p>
    <w:p>
      <w:pPr>
        <w:spacing w:after="120"/>
      </w:pPr>
      <w:r>
        <w:rPr>
          <w:rFonts w:ascii="Arial" w:cs="Arial" w:eastAsia="Arial" w:hAnsi="Arial"/>
          <w:b/>
          <w:bCs/>
          <w:sz w:val="22"/>
          <w:szCs w:val="22"/>
        </w:rPr>
        <w:t xml:space="preserve">Note sur R2 (précipitations extrêmes) : </w:t>
      </w:r>
      <w:r>
        <w:rPr>
          <w:rFonts w:ascii="Arial" w:cs="Arial" w:eastAsia="Arial" w:hAnsi="Arial"/>
          <w:sz w:val="22"/>
          <w:szCs w:val="22"/>
        </w:rPr>
        <w:t xml:space="preserve">cet indicateur peut apparaître dans deux familles (eau et risques). Pour le score, il ne doit être compté qu’une seule fois. Décision recommandée : le rattacher à « risques / événements extrêmes ».</w:t>
      </w:r>
    </w:p>
    <w:p>
      <w:r>
        <w:br w:type="page"/>
      </w:r>
    </w:p>
    <w:p>
      <w:pPr>
        <w:pStyle w:val="Heading1"/>
      </w:pPr>
      <w:r>
        <w:t xml:space="preserve">4. Calcul du score d’exposition climatique</w:t>
      </w:r>
    </w:p>
    <w:p>
      <w:pPr>
        <w:pStyle w:val="Heading2"/>
      </w:pPr>
      <w:r>
        <w:t xml:space="preserve">Horizon temporel</w:t>
      </w:r>
    </w:p>
    <w:p>
      <w:pPr>
        <w:spacing w:after="120"/>
      </w:pPr>
      <w:r>
        <w:rPr>
          <w:rFonts w:ascii="Arial" w:cs="Arial" w:eastAsia="Arial" w:hAnsi="Arial"/>
          <w:sz w:val="22"/>
          <w:szCs w:val="22"/>
        </w:rPr>
        <w:t xml:space="preserve">Le score est calculé par défaut sur les projections 2050. La période de référence (1976-2005) n’est pas « aujourd’hui » — les données 2030 sont paradoxalement plus représentatives du climat actuel. L’interface doit rendre cette nuance claire.</w:t>
      </w:r>
    </w:p>
    <w:p>
      <w:pPr>
        <w:spacing w:after="200"/>
      </w:pPr>
    </w:p>
    <w:p>
      <w:pPr>
        <w:spacing w:after="120"/>
      </w:pPr>
      <w:r>
        <w:rPr>
          <w:rFonts w:ascii="Arial" w:cs="Arial" w:eastAsia="Arial" w:hAnsi="Arial"/>
          <w:b/>
          <w:bCs/>
          <w:sz w:val="22"/>
          <w:szCs w:val="22"/>
        </w:rPr>
        <w:t xml:space="preserve">Extension future : </w:t>
      </w:r>
      <w:r>
        <w:rPr>
          <w:rFonts w:ascii="Arial" w:cs="Arial" w:eastAsia="Arial" w:hAnsi="Arial"/>
          <w:sz w:val="22"/>
          <w:szCs w:val="22"/>
        </w:rPr>
        <w:t xml:space="preserve">permettre à l’utilisateur de basculer entre 2050 et 2100.</w:t>
      </w:r>
    </w:p>
    <w:p>
      <w:pPr>
        <w:spacing w:after="200"/>
      </w:pPr>
    </w:p>
    <w:p>
      <w:pPr>
        <w:pStyle w:val="Heading2"/>
      </w:pPr>
      <w:r>
        <w:t xml:space="preserve">Méthode de calcul</w:t>
      </w:r>
    </w:p>
    <w:p>
      <w:pPr>
        <w:spacing w:after="120"/>
      </w:pPr>
      <w:r>
        <w:rPr>
          <w:rFonts w:ascii="Arial" w:cs="Arial" w:eastAsia="Arial" w:hAnsi="Arial"/>
          <w:sz w:val="22"/>
          <w:szCs w:val="22"/>
        </w:rPr>
        <w:t xml:space="preserve">Le score suit une méthode en 3 étapes :</w:t>
      </w:r>
    </w:p>
    <w:p>
      <w:pPr>
        <w:spacing w:after="200"/>
      </w:pPr>
    </w:p>
    <w:p>
      <w:pPr>
        <w:pStyle w:val="Heading3"/>
      </w:pPr>
      <w:r>
        <w:t xml:space="preserve">Étape 1 — Normalisation par rang centile</w:t>
      </w:r>
    </w:p>
    <w:p>
      <w:pPr>
        <w:spacing w:after="120"/>
      </w:pPr>
      <w:r>
        <w:rPr>
          <w:rFonts w:ascii="Arial" w:cs="Arial" w:eastAsia="Arial" w:hAnsi="Arial"/>
          <w:sz w:val="22"/>
          <w:szCs w:val="22"/>
        </w:rPr>
        <w:t xml:space="preserve">Pour chaque indicateur, les ~25 000 communes sont classées de la moins exposée à la plus exposée. Chaque commune reçoit un centile (0-100).</w:t>
      </w:r>
    </w:p>
    <w:p>
      <w:pPr>
        <w:spacing w:after="200"/>
      </w:pPr>
    </w:p>
    <w:p>
      <w:pPr>
        <w:spacing w:after="120"/>
      </w:pPr>
      <w:r>
        <w:rPr>
          <w:rFonts w:ascii="Arial" w:cs="Arial" w:eastAsia="Arial" w:hAnsi="Arial"/>
          <w:sz w:val="22"/>
          <w:szCs w:val="22"/>
        </w:rPr>
        <w:t xml:space="preserve">Avantages de cette méthode par rapport à une normalisation min/max :</w:t>
      </w:r>
    </w:p>
    <w:p>
      <w:pPr>
        <w:pStyle w:val="ListParagraph"/>
        <w:numPr>
          <w:ilvl w:val="0"/>
          <w:numId w:val="2"/>
        </w:numPr>
        <w:spacing w:after="80"/>
      </w:pPr>
      <w:r>
        <w:rPr>
          <w:rFonts w:ascii="Arial" w:cs="Arial" w:eastAsia="Arial" w:hAnsi="Arial"/>
          <w:sz w:val="22"/>
          <w:szCs w:val="22"/>
        </w:rPr>
        <w:t xml:space="preserve">Distribution homogène garantie : il y aura toujours des communes à 10, à 50, à 90.</w:t>
      </w:r>
    </w:p>
    <w:p>
      <w:pPr>
        <w:pStyle w:val="ListParagraph"/>
        <w:numPr>
          <w:ilvl w:val="0"/>
          <w:numId w:val="2"/>
        </w:numPr>
        <w:spacing w:after="80"/>
      </w:pPr>
      <w:r>
        <w:rPr>
          <w:rFonts w:ascii="Arial" w:cs="Arial" w:eastAsia="Arial" w:hAnsi="Arial"/>
          <w:sz w:val="22"/>
          <w:szCs w:val="22"/>
        </w:rPr>
        <w:t xml:space="preserve">Résistance aux valeurs extrêmes : une commune avec un indicateur aberrant ne compresse pas l’échelle de toutes les autres.</w:t>
      </w:r>
    </w:p>
    <w:p>
      <w:pPr>
        <w:pStyle w:val="ListParagraph"/>
        <w:numPr>
          <w:ilvl w:val="0"/>
          <w:numId w:val="2"/>
        </w:numPr>
        <w:spacing w:after="80"/>
      </w:pPr>
      <w:r>
        <w:rPr>
          <w:rFonts w:ascii="Arial" w:cs="Arial" w:eastAsia="Arial" w:hAnsi="Arial"/>
          <w:sz w:val="22"/>
          <w:szCs w:val="22"/>
        </w:rPr>
        <w:t xml:space="preserve">Pouvoir discriminant élevé : le tri produira des écarts significatifs.</w:t>
      </w:r>
    </w:p>
    <w:p>
      <w:pPr>
        <w:spacing w:after="200"/>
      </w:pPr>
    </w:p>
    <w:p>
      <w:pPr>
        <w:pStyle w:val="Heading3"/>
      </w:pPr>
      <w:r>
        <w:t xml:space="preserve">Étape 2 — Score par famille</w:t>
      </w:r>
    </w:p>
    <w:p>
      <w:pPr>
        <w:spacing w:after="120"/>
      </w:pPr>
      <w:r>
        <w:rPr>
          <w:rFonts w:ascii="Arial" w:cs="Arial" w:eastAsia="Arial" w:hAnsi="Arial"/>
          <w:sz w:val="22"/>
          <w:szCs w:val="22"/>
        </w:rPr>
        <w:t xml:space="preserve">Pour chaque famille, calculer la moyenne des centiles de ses indicateurs. Résultat : 5 scores de 0 à 100, un par famille.</w:t>
      </w:r>
    </w:p>
    <w:p>
      <w:pPr>
        <w:spacing w:after="200"/>
      </w:pPr>
    </w:p>
    <w:p>
      <w:pPr>
        <w:spacing w:after="120"/>
      </w:pPr>
      <w:r>
        <w:rPr>
          <w:rFonts w:ascii="Arial" w:cs="Arial" w:eastAsia="Arial" w:hAnsi="Arial"/>
          <w:sz w:val="22"/>
          <w:szCs w:val="22"/>
        </w:rPr>
        <w:t xml:space="preserve">Exemple pour la famille « Chaleur » d’une commune :</w:t>
      </w:r>
    </w:p>
    <w:p>
      <w:pPr>
        <w:pStyle w:val="ListParagraph"/>
        <w:numPr>
          <w:ilvl w:val="0"/>
          <w:numId w:val="2"/>
        </w:numPr>
        <w:spacing w:after="80"/>
      </w:pPr>
      <w:r>
        <w:rPr>
          <w:rFonts w:ascii="Arial" w:cs="Arial" w:eastAsia="Arial" w:hAnsi="Arial"/>
          <w:sz w:val="22"/>
          <w:szCs w:val="22"/>
        </w:rPr>
        <w:t xml:space="preserve">S3 (vagues de chaleur) : centile 65</w:t>
      </w:r>
    </w:p>
    <w:p>
      <w:pPr>
        <w:pStyle w:val="ListParagraph"/>
        <w:numPr>
          <w:ilvl w:val="0"/>
          <w:numId w:val="2"/>
        </w:numPr>
        <w:spacing w:after="80"/>
      </w:pPr>
      <w:r>
        <w:rPr>
          <w:rFonts w:ascii="Arial" w:cs="Arial" w:eastAsia="Arial" w:hAnsi="Arial"/>
          <w:sz w:val="22"/>
          <w:szCs w:val="22"/>
        </w:rPr>
        <w:t xml:space="preserve">S1 (jours très chauds) : centile 70</w:t>
      </w:r>
    </w:p>
    <w:p>
      <w:pPr>
        <w:pStyle w:val="ListParagraph"/>
        <w:numPr>
          <w:ilvl w:val="0"/>
          <w:numId w:val="2"/>
        </w:numPr>
        <w:spacing w:after="80"/>
      </w:pPr>
      <w:r>
        <w:rPr>
          <w:rFonts w:ascii="Arial" w:cs="Arial" w:eastAsia="Arial" w:hAnsi="Arial"/>
          <w:sz w:val="22"/>
          <w:szCs w:val="22"/>
        </w:rPr>
        <w:t xml:space="preserve">S2 (nuits chaudes) : centile 60</w:t>
      </w:r>
    </w:p>
    <w:p>
      <w:pPr>
        <w:pStyle w:val="ListParagraph"/>
        <w:numPr>
          <w:ilvl w:val="0"/>
          <w:numId w:val="2"/>
        </w:numPr>
        <w:spacing w:after="80"/>
      </w:pPr>
      <w:r>
        <w:rPr>
          <w:rFonts w:ascii="Arial" w:cs="Arial" w:eastAsia="Arial" w:hAnsi="Arial"/>
          <w:sz w:val="22"/>
          <w:szCs w:val="22"/>
        </w:rPr>
        <w:t xml:space="preserve">S4 (vagues de froid) : centile 20 (inversé : peu de froid = plus de chaleur)</w:t>
      </w:r>
    </w:p>
    <w:p>
      <w:pPr>
        <w:pStyle w:val="ListParagraph"/>
        <w:numPr>
          <w:ilvl w:val="0"/>
          <w:numId w:val="2"/>
        </w:numPr>
        <w:spacing w:after="80"/>
      </w:pPr>
      <w:r>
        <w:rPr>
          <w:rFonts w:ascii="Arial" w:cs="Arial" w:eastAsia="Arial" w:hAnsi="Arial"/>
          <w:sz w:val="22"/>
          <w:szCs w:val="22"/>
        </w:rPr>
        <w:t xml:space="preserve">ICU : centile 45</w:t>
      </w:r>
    </w:p>
    <w:p>
      <w:pPr>
        <w:pStyle w:val="ListParagraph"/>
        <w:numPr>
          <w:ilvl w:val="0"/>
          <w:numId w:val="2"/>
        </w:numPr>
        <w:spacing w:after="80"/>
      </w:pPr>
      <w:r>
        <w:rPr>
          <w:rFonts w:ascii="Arial" w:cs="Arial" w:eastAsia="Arial" w:hAnsi="Arial"/>
          <w:sz w:val="22"/>
          <w:szCs w:val="22"/>
        </w:rPr>
        <w:t xml:space="preserve">Score famille chaleur = (65 + 70 + 60 + 20 + 45) / 5 = 52</w:t>
      </w:r>
    </w:p>
    <w:p>
      <w:pPr>
        <w:spacing w:after="200"/>
      </w:pPr>
    </w:p>
    <w:p>
      <w:pPr>
        <w:spacing w:after="120"/>
      </w:pPr>
      <w:r>
        <w:rPr>
          <w:rFonts w:ascii="Arial" w:cs="Arial" w:eastAsia="Arial" w:hAnsi="Arial"/>
          <w:b/>
          <w:bCs/>
          <w:sz w:val="22"/>
          <w:szCs w:val="22"/>
        </w:rPr>
        <w:t xml:space="preserve">Attention S4 (vagues de froid) : </w:t>
      </w:r>
      <w:r>
        <w:rPr>
          <w:rFonts w:ascii="Arial" w:cs="Arial" w:eastAsia="Arial" w:hAnsi="Arial"/>
          <w:sz w:val="22"/>
          <w:szCs w:val="22"/>
        </w:rPr>
        <w:t xml:space="preserve">cet indicateur est inversé par rapport aux autres de la famille chaleur. Moins de froid ne signifie pas nécessairement plus de stress thermique. Il peut être pertinent de l’exclure de la famille chaleur ou de le traiter séparément. Décision à prendre lors de l’implémentation.</w:t>
      </w:r>
    </w:p>
    <w:p>
      <w:pPr>
        <w:spacing w:after="200"/>
      </w:pPr>
    </w:p>
    <w:p>
      <w:pPr>
        <w:pStyle w:val="Heading3"/>
      </w:pPr>
      <w:r>
        <w:t xml:space="preserve">Étape 3 — Score global</w:t>
      </w:r>
    </w:p>
    <w:p>
      <w:pPr>
        <w:spacing w:after="120"/>
      </w:pPr>
      <w:r>
        <w:rPr>
          <w:rFonts w:ascii="Arial" w:cs="Arial" w:eastAsia="Arial" w:hAnsi="Arial"/>
          <w:b/>
          <w:bCs/>
          <w:sz w:val="22"/>
          <w:szCs w:val="22"/>
        </w:rPr>
        <w:t xml:space="preserve">Mode brut (défaut, temps 2) : </w:t>
      </w:r>
      <w:r>
        <w:rPr>
          <w:rFonts w:ascii="Arial" w:cs="Arial" w:eastAsia="Arial" w:hAnsi="Arial"/>
          <w:sz w:val="22"/>
          <w:szCs w:val="22"/>
        </w:rPr>
        <w:t xml:space="preserve">moyenne simple des 5 scores familles.</w:t>
      </w:r>
    </w:p>
    <w:p>
      <w:pPr>
        <w:spacing w:after="120"/>
      </w:pPr>
      <w:r>
        <w:rPr>
          <w:rFonts w:ascii="Arial" w:cs="Arial" w:eastAsia="Arial" w:hAnsi="Arial"/>
          <w:b/>
          <w:bCs/>
          <w:sz w:val="22"/>
          <w:szCs w:val="22"/>
        </w:rPr>
        <w:t xml:space="preserve">Mode pondéré (temps 3) : </w:t>
      </w:r>
      <w:r>
        <w:rPr>
          <w:rFonts w:ascii="Arial" w:cs="Arial" w:eastAsia="Arial" w:hAnsi="Arial"/>
          <w:sz w:val="22"/>
          <w:szCs w:val="22"/>
        </w:rPr>
        <w:t xml:space="preserve">moyenne pondérée selon les curseurs de l’utilisateur.</w:t>
      </w:r>
    </w:p>
    <w:p>
      <w:pPr>
        <w:spacing w:after="200"/>
      </w:pPr>
    </w:p>
    <w:p>
      <w:pPr>
        <w:spacing w:after="120"/>
      </w:pPr>
      <w:r>
        <w:rPr>
          <w:rFonts w:ascii="Arial" w:cs="Arial" w:eastAsia="Arial" w:hAnsi="Arial"/>
          <w:sz w:val="22"/>
          <w:szCs w:val="22"/>
        </w:rPr>
        <w:t xml:space="preserve">Formule :</w:t>
      </w:r>
    </w:p>
    <w:p>
      <w:pPr>
        <w:spacing w:after="120"/>
      </w:pPr>
      <w:r>
        <w:rPr>
          <w:rFonts w:ascii="Arial" w:cs="Arial" w:eastAsia="Arial" w:hAnsi="Arial"/>
          <w:i/>
          <w:iCs/>
          <w:sz w:val="22"/>
          <w:szCs w:val="22"/>
        </w:rPr>
        <w:t xml:space="preserve">Score global = Σ (poids_famille × score_famille) / Σ (poids_famille)</w:t>
      </w:r>
    </w:p>
    <w:p>
      <w:pPr>
        <w:spacing w:after="200"/>
      </w:pPr>
    </w:p>
    <w:p>
      <w:pPr>
        <w:spacing w:after="120"/>
      </w:pPr>
      <w:r>
        <w:rPr>
          <w:rFonts w:ascii="Arial" w:cs="Arial" w:eastAsia="Arial" w:hAnsi="Arial"/>
          <w:b/>
          <w:bCs/>
          <w:sz w:val="22"/>
          <w:szCs w:val="22"/>
        </w:rPr>
        <w:t xml:space="preserve">Note sur la famille « pollution des sols » : </w:t>
      </w:r>
      <w:r>
        <w:rPr>
          <w:rFonts w:ascii="Arial" w:cs="Arial" w:eastAsia="Arial" w:hAnsi="Arial"/>
          <w:sz w:val="22"/>
          <w:szCs w:val="22"/>
        </w:rPr>
        <w:t xml:space="preserve">tant que les données ne sont pas disponibles, le score global se calcule sur 4 familles. Quand les données seront intégrées, le score basculera automatiquement sur 5 familles.</w:t>
      </w:r>
    </w:p>
    <w:p>
      <w:r>
        <w:br w:type="page"/>
      </w:r>
    </w:p>
    <w:p>
      <w:pPr>
        <w:pStyle w:val="Heading1"/>
      </w:pPr>
      <w:r>
        <w:t xml:space="preserve">5. États de l’interface</w:t>
      </w:r>
    </w:p>
    <w:p>
      <w:pPr>
        <w:spacing w:after="120"/>
      </w:pPr>
      <w:r>
        <w:rPr>
          <w:rFonts w:ascii="Arial" w:cs="Arial" w:eastAsia="Arial" w:hAnsi="Arial"/>
          <w:sz w:val="22"/>
          <w:szCs w:val="22"/>
        </w:rPr>
        <w:t xml:space="preserve">L’interface a deux états principaux. Voici ce qui change entre les deux.</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BD5E0" w:sz="1"/>
              <w:left w:val="single" w:color="CBD5E0" w:sz="1"/>
              <w:bottom w:val="single" w:color="CBD5E0" w:sz="1"/>
              <w:right w:val="single" w:color="CBD5E0" w:sz="1"/>
            </w:tcBorders>
            <w:shd w:fill="E8E9F9" w:val="clear"/>
            <w:tcMar>
              <w:top w:type="dxa" w:w="80"/>
              <w:left w:type="dxa" w:w="120"/>
              <w:bottom w:type="dxa" w:w="80"/>
              <w:right w:type="dxa" w:w="120"/>
            </w:tcMar>
          </w:tcPr>
          <w:p>
            <w:r>
              <w:rPr>
                <w:rFonts w:ascii="Arial" w:cs="Arial" w:eastAsia="Arial" w:hAnsi="Arial"/>
                <w:b/>
                <w:bCs/>
                <w:sz w:val="20"/>
                <w:szCs w:val="20"/>
              </w:rPr>
              <w:t xml:space="preserve">Élément</w:t>
            </w:r>
          </w:p>
        </w:tc>
        <w:tc>
          <w:tcPr>
            <w:tcW w:type="dxa" w:w="3413"/>
            <w:tcBorders>
              <w:top w:val="single" w:color="CBD5E0" w:sz="1"/>
              <w:left w:val="single" w:color="CBD5E0" w:sz="1"/>
              <w:bottom w:val="single" w:color="CBD5E0" w:sz="1"/>
              <w:right w:val="single" w:color="CBD5E0" w:sz="1"/>
            </w:tcBorders>
            <w:shd w:fill="E8E9F9" w:val="clear"/>
            <w:tcMar>
              <w:top w:type="dxa" w:w="80"/>
              <w:left w:type="dxa" w:w="120"/>
              <w:bottom w:type="dxa" w:w="80"/>
              <w:right w:type="dxa" w:w="120"/>
            </w:tcMar>
          </w:tcPr>
          <w:p>
            <w:r>
              <w:rPr>
                <w:rFonts w:ascii="Arial" w:cs="Arial" w:eastAsia="Arial" w:hAnsi="Arial"/>
                <w:b/>
                <w:bCs/>
                <w:sz w:val="20"/>
                <w:szCs w:val="20"/>
              </w:rPr>
              <w:t xml:space="preserve">Avant atterrissage</w:t>
            </w:r>
          </w:p>
        </w:tc>
        <w:tc>
          <w:tcPr>
            <w:tcW w:type="dxa" w:w="3413"/>
            <w:tcBorders>
              <w:top w:val="single" w:color="CBD5E0" w:sz="1"/>
              <w:left w:val="single" w:color="CBD5E0" w:sz="1"/>
              <w:bottom w:val="single" w:color="CBD5E0" w:sz="1"/>
              <w:right w:val="single" w:color="CBD5E0" w:sz="1"/>
            </w:tcBorders>
            <w:shd w:fill="E8E9F9" w:val="clear"/>
            <w:tcMar>
              <w:top w:type="dxa" w:w="80"/>
              <w:left w:type="dxa" w:w="120"/>
              <w:bottom w:type="dxa" w:w="80"/>
              <w:right w:type="dxa" w:w="120"/>
            </w:tcMar>
          </w:tcPr>
          <w:p>
            <w:r>
              <w:rPr>
                <w:rFonts w:ascii="Arial" w:cs="Arial" w:eastAsia="Arial" w:hAnsi="Arial"/>
                <w:b/>
                <w:bCs/>
                <w:sz w:val="20"/>
                <w:szCs w:val="20"/>
              </w:rPr>
              <w:t xml:space="preserve">Après atterrissage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Tri de la liste</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Alphabétique</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Par score d’exposition climatique (croissant)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Carte de commune (liste)</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Nom, code postal, département, maire</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Idem + 5 indicateurs visuels par famille (badges, jauges ou icônes)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Marqueurs carte Leaflet</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Couleur uniforme</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Couleur ou taille reflétant le score d’exposition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Filtres climatiques</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Grisés / verrouillés avec message d’invitation</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Déverrouillés et fonctionnels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Panneau pondération</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Non visible</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Accessible (5 curseurs par famille)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Header / marqueur visuel</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Normal</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Indicateur persistant « Données 2050 actives »</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Bouton atterrir</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Visible et actif</w:t>
            </w:r>
          </w:p>
        </w:tc>
        <w:tc>
          <w:tcPr>
            <w:tcW w:type="dxa" w:w="3413"/>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0"/>
                <w:szCs w:val="20"/>
              </w:rPr>
              <w:t xml:space="preserve">Désactivé ou transformé en indicateur d’état</w:t>
            </w:r>
          </w:p>
        </w:tc>
      </w:tr>
    </w:tbl>
    <w:p>
      <w:pPr>
        <w:spacing w:after="200"/>
      </w:pPr>
    </w:p>
    <w:p>
      <w:pPr>
        <w:pStyle w:val="Heading1"/>
      </w:pPr>
      <w:r>
        <w:t xml:space="preserve">6. Fiche commune (CommuneDrawer)</w:t>
      </w:r>
    </w:p>
    <w:p>
      <w:pPr>
        <w:spacing w:after="120"/>
      </w:pPr>
      <w:r>
        <w:rPr>
          <w:rFonts w:ascii="Arial" w:cs="Arial" w:eastAsia="Arial" w:hAnsi="Arial"/>
          <w:sz w:val="22"/>
          <w:szCs w:val="22"/>
        </w:rPr>
        <w:t xml:space="preserve">Le drawer de détail d’une commune conserve sa structure actuelle en 3 colonnes mais s’adapte à l’état atterri.</w:t>
      </w:r>
    </w:p>
    <w:p>
      <w:pPr>
        <w:spacing w:after="200"/>
      </w:pPr>
    </w:p>
    <w:p>
      <w:pPr>
        <w:spacing w:after="120"/>
      </w:pPr>
      <w:r>
        <w:rPr>
          <w:rFonts w:ascii="Arial" w:cs="Arial" w:eastAsia="Arial" w:hAnsi="Arial"/>
          <w:b/>
          <w:bCs/>
          <w:sz w:val="22"/>
          <w:szCs w:val="22"/>
        </w:rPr>
        <w:t xml:space="preserve">Avant atterrissage : </w:t>
      </w:r>
      <w:r>
        <w:rPr>
          <w:rFonts w:ascii="Arial" w:cs="Arial" w:eastAsia="Arial" w:hAnsi="Arial"/>
          <w:sz w:val="22"/>
          <w:szCs w:val="22"/>
        </w:rPr>
        <w:t xml:space="preserve">la colonne « Environnement et risques » peut afficher les données brutes déjà présentes (risques répertoriés, qualité de l’air) mais sans les projections climatiques ni le score.</w:t>
      </w:r>
    </w:p>
    <w:p>
      <w:pPr>
        <w:spacing w:after="120"/>
      </w:pPr>
      <w:r>
        <w:rPr>
          <w:rFonts w:ascii="Arial" w:cs="Arial" w:eastAsia="Arial" w:hAnsi="Arial"/>
          <w:b/>
          <w:bCs/>
          <w:sz w:val="22"/>
          <w:szCs w:val="22"/>
        </w:rPr>
        <w:t xml:space="preserve">Après atterrissage : </w:t>
      </w:r>
      <w:r>
        <w:rPr>
          <w:rFonts w:ascii="Arial" w:cs="Arial" w:eastAsia="Arial" w:hAnsi="Arial"/>
          <w:sz w:val="22"/>
          <w:szCs w:val="22"/>
        </w:rPr>
        <w:t xml:space="preserve">la colonne s’enrichit des projections 2050 complètes, du score par famille, et du score global. Les graphiques Recharts de tendance climatique deviennent visibles.</w:t>
      </w:r>
    </w:p>
    <w:p>
      <w:pPr>
        <w:spacing w:after="200"/>
      </w:pPr>
    </w:p>
    <w:p>
      <w:pPr>
        <w:spacing w:after="120"/>
      </w:pPr>
      <w:r>
        <w:rPr>
          <w:rFonts w:ascii="Arial" w:cs="Arial" w:eastAsia="Arial" w:hAnsi="Arial"/>
          <w:b/>
          <w:bCs/>
          <w:sz w:val="22"/>
          <w:szCs w:val="22"/>
        </w:rPr>
        <w:t xml:space="preserve">Attention « Référence » : </w:t>
      </w:r>
      <w:r>
        <w:rPr>
          <w:rFonts w:ascii="Arial" w:cs="Arial" w:eastAsia="Arial" w:hAnsi="Arial"/>
          <w:sz w:val="22"/>
          <w:szCs w:val="22"/>
        </w:rPr>
        <w:t xml:space="preserve">l’affichage actuel montre « Réf. » comme première valeur de la timeline. Il faut préciser que cette référence correspond à la période 1976-2005, et que la colonne 2030 est plus représentative du climat actuel. Un tooltip ou une légende est nécessaire.</w:t>
      </w:r>
    </w:p>
    <w:p>
      <w:r>
        <w:br w:type="page"/>
      </w:r>
    </w:p>
    <w:p>
      <w:pPr>
        <w:pStyle w:val="Heading1"/>
      </w:pPr>
      <w:r>
        <w:t xml:space="preserve">7. Gestion de l’utilisateur récurrent</w:t>
      </w:r>
    </w:p>
    <w:p>
      <w:pPr>
        <w:spacing w:after="120"/>
      </w:pPr>
      <w:r>
        <w:rPr>
          <w:rFonts w:ascii="Arial" w:cs="Arial" w:eastAsia="Arial" w:hAnsi="Arial"/>
          <w:sz w:val="22"/>
          <w:szCs w:val="22"/>
        </w:rPr>
        <w:t xml:space="preserve">Un utilisateur qui revient sur l’app et connaît déjà le concept ne doit pas être forcé de revivre le parcours pédagogique.</w:t>
      </w:r>
    </w:p>
    <w:p>
      <w:pPr>
        <w:spacing w:after="200"/>
      </w:pPr>
    </w:p>
    <w:p>
      <w:pPr>
        <w:spacing w:after="120"/>
      </w:pPr>
      <w:r>
        <w:rPr>
          <w:rFonts w:ascii="Arial" w:cs="Arial" w:eastAsia="Arial" w:hAnsi="Arial"/>
          <w:b/>
          <w:bCs/>
          <w:sz w:val="22"/>
          <w:szCs w:val="22"/>
        </w:rPr>
        <w:t xml:space="preserve">Solution prioritaire : </w:t>
      </w:r>
      <w:r>
        <w:rPr>
          <w:rFonts w:ascii="Arial" w:cs="Arial" w:eastAsia="Arial" w:hAnsi="Arial"/>
          <w:sz w:val="22"/>
          <w:szCs w:val="22"/>
        </w:rPr>
        <w:t xml:space="preserve">localStorage. Un flag « hasLanded » est stocké dans le navigateur. Au retour, l’utilisateur arrive directement en état atterri : filtres climatiques déverrouillés, tri par score actif, couche visuelle climat présente.</w:t>
      </w:r>
    </w:p>
    <w:p>
      <w:pPr>
        <w:spacing w:after="120"/>
      </w:pPr>
      <w:r>
        <w:rPr>
          <w:rFonts w:ascii="Arial" w:cs="Arial" w:eastAsia="Arial" w:hAnsi="Arial"/>
          <w:b/>
          <w:bCs/>
          <w:sz w:val="22"/>
          <w:szCs w:val="22"/>
        </w:rPr>
        <w:t xml:space="preserve">Fallback : </w:t>
      </w:r>
      <w:r>
        <w:rPr>
          <w:rFonts w:ascii="Arial" w:cs="Arial" w:eastAsia="Arial" w:hAnsi="Arial"/>
          <w:sz w:val="22"/>
          <w:szCs w:val="22"/>
        </w:rPr>
        <w:t xml:space="preserve">si le localStorage n’est pas disponible (navigation privée, nouveau navigateur), un lien « Accès direct » ou « Je connais déjà » permet de sauter l’étape pédagogique en un clic.</w:t>
      </w:r>
    </w:p>
    <w:p>
      <w:pPr>
        <w:spacing w:after="200"/>
      </w:pPr>
    </w:p>
    <w:p>
      <w:pPr>
        <w:spacing w:after="120"/>
      </w:pPr>
      <w:r>
        <w:rPr>
          <w:rFonts w:ascii="Arial" w:cs="Arial" w:eastAsia="Arial" w:hAnsi="Arial"/>
          <w:b/>
          <w:bCs/>
          <w:sz w:val="22"/>
          <w:szCs w:val="22"/>
        </w:rPr>
        <w:t xml:space="preserve">Extension future (hors scope) : </w:t>
      </w:r>
      <w:r>
        <w:rPr>
          <w:rFonts w:ascii="Arial" w:cs="Arial" w:eastAsia="Arial" w:hAnsi="Arial"/>
          <w:sz w:val="22"/>
          <w:szCs w:val="22"/>
        </w:rPr>
        <w:t xml:space="preserve">système de comptes utilisateurs permettant de sauvegarder pondérations, recherches, communes favorites.</w:t>
      </w:r>
    </w:p>
    <w:p>
      <w:pPr>
        <w:pStyle w:val="Heading1"/>
      </w:pPr>
      <w:r>
        <w:t xml:space="preserve">8. Règles métier récapitulatives</w:t>
      </w:r>
    </w:p>
    <w:p>
      <w:pPr>
        <w:spacing w:after="120"/>
      </w:pPr>
      <w:r>
        <w:rPr>
          <w:rFonts w:ascii="Arial" w:cs="Arial" w:eastAsia="Arial" w:hAnsi="Arial"/>
          <w:sz w:val="22"/>
          <w:szCs w:val="22"/>
        </w:rPr>
        <w:t xml:space="preserve">Liste complète des règles à implémenter :</w:t>
      </w:r>
    </w:p>
    <w:p>
      <w:pPr>
        <w:spacing w:after="200"/>
      </w:pPr>
    </w:p>
    <w:p>
      <w:pPr>
        <w:pStyle w:val="ListParagraph"/>
        <w:numPr>
          <w:ilvl w:val="0"/>
          <w:numId w:val="4"/>
        </w:numPr>
        <w:spacing w:after="80"/>
      </w:pPr>
      <w:r>
        <w:rPr>
          <w:rFonts w:ascii="Arial" w:cs="Arial" w:eastAsia="Arial" w:hAnsi="Arial"/>
          <w:sz w:val="22"/>
          <w:szCs w:val="22"/>
        </w:rPr>
        <w:t xml:space="preserve">Le bouton « Atterrir » est un cliquet irréversible dans la session.</w:t>
      </w:r>
    </w:p>
    <w:p>
      <w:pPr>
        <w:pStyle w:val="ListParagraph"/>
        <w:numPr>
          <w:ilvl w:val="0"/>
          <w:numId w:val="4"/>
        </w:numPr>
        <w:spacing w:after="80"/>
      </w:pPr>
      <w:r>
        <w:rPr>
          <w:rFonts w:ascii="Arial" w:cs="Arial" w:eastAsia="Arial" w:hAnsi="Arial"/>
          <w:sz w:val="22"/>
          <w:szCs w:val="22"/>
        </w:rPr>
        <w:t xml:space="preserve">Une fois atterri, toute modification de filtres classiques produit des résultats déjà triés par score climatique.</w:t>
      </w:r>
    </w:p>
    <w:p>
      <w:pPr>
        <w:pStyle w:val="ListParagraph"/>
        <w:numPr>
          <w:ilvl w:val="0"/>
          <w:numId w:val="4"/>
        </w:numPr>
        <w:spacing w:after="80"/>
      </w:pPr>
      <w:r>
        <w:rPr>
          <w:rFonts w:ascii="Arial" w:cs="Arial" w:eastAsia="Arial" w:hAnsi="Arial"/>
          <w:sz w:val="22"/>
          <w:szCs w:val="22"/>
        </w:rPr>
        <w:t xml:space="preserve">Le score global par défaut est la moyenne simple des scores par famille (pondération égale).</w:t>
      </w:r>
    </w:p>
    <w:p>
      <w:pPr>
        <w:pStyle w:val="ListParagraph"/>
        <w:numPr>
          <w:ilvl w:val="0"/>
          <w:numId w:val="4"/>
        </w:numPr>
        <w:spacing w:after="80"/>
      </w:pPr>
      <w:r>
        <w:rPr>
          <w:rFonts w:ascii="Arial" w:cs="Arial" w:eastAsia="Arial" w:hAnsi="Arial"/>
          <w:sz w:val="22"/>
          <w:szCs w:val="22"/>
        </w:rPr>
        <w:t xml:space="preserve">Il est impossible de mettre toutes les familles climatiques à poids zéro. Minimum une famille active.</w:t>
      </w:r>
    </w:p>
    <w:p>
      <w:pPr>
        <w:pStyle w:val="ListParagraph"/>
        <w:numPr>
          <w:ilvl w:val="0"/>
          <w:numId w:val="4"/>
        </w:numPr>
        <w:spacing w:after="80"/>
      </w:pPr>
      <w:r>
        <w:rPr>
          <w:rFonts w:ascii="Arial" w:cs="Arial" w:eastAsia="Arial" w:hAnsi="Arial"/>
          <w:sz w:val="22"/>
          <w:szCs w:val="22"/>
        </w:rPr>
        <w:t xml:space="preserve">Les filtres climatiques (limites dures) ne sont accessibles qu’après atterrissage.</w:t>
      </w:r>
    </w:p>
    <w:p>
      <w:pPr>
        <w:pStyle w:val="ListParagraph"/>
        <w:numPr>
          <w:ilvl w:val="0"/>
          <w:numId w:val="4"/>
        </w:numPr>
        <w:spacing w:after="80"/>
      </w:pPr>
      <w:r>
        <w:rPr>
          <w:rFonts w:ascii="Arial" w:cs="Arial" w:eastAsia="Arial" w:hAnsi="Arial"/>
          <w:sz w:val="22"/>
          <w:szCs w:val="22"/>
        </w:rPr>
        <w:t xml:space="preserve">Les filtres durs éliminent des communes. La pondération réordonne sans éliminer.</w:t>
      </w:r>
    </w:p>
    <w:p>
      <w:pPr>
        <w:pStyle w:val="ListParagraph"/>
        <w:numPr>
          <w:ilvl w:val="0"/>
          <w:numId w:val="4"/>
        </w:numPr>
        <w:spacing w:after="80"/>
      </w:pPr>
      <w:r>
        <w:rPr>
          <w:rFonts w:ascii="Arial" w:cs="Arial" w:eastAsia="Arial" w:hAnsi="Arial"/>
          <w:sz w:val="22"/>
          <w:szCs w:val="22"/>
        </w:rPr>
        <w:t xml:space="preserve">L’horizon de calcul par défaut est 2050.</w:t>
      </w:r>
    </w:p>
    <w:p>
      <w:pPr>
        <w:pStyle w:val="ListParagraph"/>
        <w:numPr>
          <w:ilvl w:val="0"/>
          <w:numId w:val="4"/>
        </w:numPr>
        <w:spacing w:after="80"/>
      </w:pPr>
      <w:r>
        <w:rPr>
          <w:rFonts w:ascii="Arial" w:cs="Arial" w:eastAsia="Arial" w:hAnsi="Arial"/>
          <w:sz w:val="22"/>
          <w:szCs w:val="22"/>
        </w:rPr>
        <w:t xml:space="preserve">La normalisation se fait par rang centile sur l’ensemble des ~25 000 communes.</w:t>
      </w:r>
    </w:p>
    <w:p>
      <w:pPr>
        <w:pStyle w:val="ListParagraph"/>
        <w:numPr>
          <w:ilvl w:val="0"/>
          <w:numId w:val="4"/>
        </w:numPr>
        <w:spacing w:after="80"/>
      </w:pPr>
      <w:r>
        <w:rPr>
          <w:rFonts w:ascii="Arial" w:cs="Arial" w:eastAsia="Arial" w:hAnsi="Arial"/>
          <w:sz w:val="22"/>
          <w:szCs w:val="22"/>
        </w:rPr>
        <w:t xml:space="preserve">Le localStorage stocke le flag « hasLanded » pour les utilisateurs récurrents.</w:t>
      </w:r>
    </w:p>
    <w:p>
      <w:pPr>
        <w:pStyle w:val="ListParagraph"/>
        <w:numPr>
          <w:ilvl w:val="0"/>
          <w:numId w:val="4"/>
        </w:numPr>
        <w:spacing w:after="80"/>
      </w:pPr>
      <w:r>
        <w:rPr>
          <w:rFonts w:ascii="Arial" w:cs="Arial" w:eastAsia="Arial" w:hAnsi="Arial"/>
          <w:sz w:val="22"/>
          <w:szCs w:val="22"/>
        </w:rPr>
        <w:t xml:space="preserve">Le message « Chaque commune française est concernée par au moins une dimension du dérèglement climatique » s’affiche si l’utilisateur tente de désactiver toutes les familles.</w:t>
      </w:r>
    </w:p>
    <w:p>
      <w:r>
        <w:br w:type="page"/>
      </w:r>
    </w:p>
    <w:p>
      <w:pPr>
        <w:pStyle w:val="Heading1"/>
      </w:pPr>
      <w:r>
        <w:t xml:space="preserve">9. Instructions d’implémentation</w:t>
      </w:r>
    </w:p>
    <w:p>
      <w:pPr>
        <w:spacing w:after="120"/>
      </w:pPr>
      <w:r>
        <w:rPr>
          <w:rFonts w:ascii="Arial" w:cs="Arial" w:eastAsia="Arial" w:hAnsi="Arial"/>
          <w:sz w:val="22"/>
          <w:szCs w:val="22"/>
        </w:rPr>
        <w:t xml:space="preserve">Cette section donne des directives concrètes pour Claude Code et les outils de génération.</w:t>
      </w:r>
    </w:p>
    <w:p>
      <w:pPr>
        <w:spacing w:after="200"/>
      </w:pPr>
    </w:p>
    <w:p>
      <w:pPr>
        <w:pStyle w:val="Heading2"/>
      </w:pPr>
      <w:r>
        <w:t xml:space="preserve">Backend / Supabase</w:t>
      </w:r>
    </w:p>
    <w:p>
      <w:pPr>
        <w:pStyle w:val="ListParagraph"/>
        <w:numPr>
          <w:ilvl w:val="0"/>
          <w:numId w:val="5"/>
        </w:numPr>
        <w:spacing w:after="80"/>
      </w:pPr>
      <w:r>
        <w:rPr>
          <w:rFonts w:ascii="Arial" w:cs="Arial" w:eastAsia="Arial" w:hAnsi="Arial"/>
          <w:sz w:val="22"/>
          <w:szCs w:val="22"/>
        </w:rPr>
        <w:t xml:space="preserve">Créer une vue matérialisée (ou une table) qui précalcule, pour chaque commune, le centile de chaque indicateur climatique sur l’horizon 2050.</w:t>
      </w:r>
    </w:p>
    <w:p>
      <w:pPr>
        <w:pStyle w:val="ListParagraph"/>
        <w:numPr>
          <w:ilvl w:val="0"/>
          <w:numId w:val="5"/>
        </w:numPr>
        <w:spacing w:after="80"/>
      </w:pPr>
      <w:r>
        <w:rPr>
          <w:rFonts w:ascii="Arial" w:cs="Arial" w:eastAsia="Arial" w:hAnsi="Arial"/>
          <w:sz w:val="22"/>
          <w:szCs w:val="22"/>
        </w:rPr>
        <w:t xml:space="preserve">Créer une colonne par famille (centile_chaleur, centile_eau, centile_risques, centile_air, centile_sols) et une colonne score_global (moyenne des précédentes).</w:t>
      </w:r>
    </w:p>
    <w:p>
      <w:pPr>
        <w:pStyle w:val="ListParagraph"/>
        <w:numPr>
          <w:ilvl w:val="0"/>
          <w:numId w:val="5"/>
        </w:numPr>
        <w:spacing w:after="80"/>
      </w:pPr>
      <w:r>
        <w:rPr>
          <w:rFonts w:ascii="Arial" w:cs="Arial" w:eastAsia="Arial" w:hAnsi="Arial"/>
          <w:sz w:val="22"/>
          <w:szCs w:val="22"/>
        </w:rPr>
        <w:t xml:space="preserve">Ces centiles doivent être recalculés si de nouvelles communes ou données sont ajoutées.</w:t>
      </w:r>
    </w:p>
    <w:p>
      <w:pPr>
        <w:pStyle w:val="ListParagraph"/>
        <w:numPr>
          <w:ilvl w:val="0"/>
          <w:numId w:val="5"/>
        </w:numPr>
        <w:spacing w:after="80"/>
      </w:pPr>
      <w:r>
        <w:rPr>
          <w:rFonts w:ascii="Arial" w:cs="Arial" w:eastAsia="Arial" w:hAnsi="Arial"/>
          <w:sz w:val="22"/>
          <w:szCs w:val="22"/>
        </w:rPr>
        <w:t xml:space="preserve">La famille « pollution des sols » est à null/exclue tant que les données ne sont pas disponibles.</w:t>
      </w:r>
    </w:p>
    <w:p>
      <w:pPr>
        <w:spacing w:after="200"/>
      </w:pPr>
    </w:p>
    <w:p>
      <w:pPr>
        <w:pStyle w:val="Heading2"/>
      </w:pPr>
      <w:r>
        <w:t xml:space="preserve">Frontend / React</w:t>
      </w:r>
    </w:p>
    <w:p>
      <w:pPr>
        <w:pStyle w:val="ListParagraph"/>
        <w:numPr>
          <w:ilvl w:val="0"/>
          <w:numId w:val="6"/>
        </w:numPr>
        <w:spacing w:after="80"/>
      </w:pPr>
      <w:r>
        <w:rPr>
          <w:rFonts w:ascii="Arial" w:cs="Arial" w:eastAsia="Arial" w:hAnsi="Arial"/>
          <w:sz w:val="22"/>
          <w:szCs w:val="22"/>
        </w:rPr>
        <w:t xml:space="preserve">Ajouter un état global isLanded (boolean) dans le state management (context ou store).</w:t>
      </w:r>
    </w:p>
    <w:p>
      <w:pPr>
        <w:pStyle w:val="ListParagraph"/>
        <w:numPr>
          <w:ilvl w:val="0"/>
          <w:numId w:val="6"/>
        </w:numPr>
        <w:spacing w:after="80"/>
      </w:pPr>
      <w:r>
        <w:rPr>
          <w:rFonts w:ascii="Arial" w:cs="Arial" w:eastAsia="Arial" w:hAnsi="Arial"/>
          <w:sz w:val="22"/>
          <w:szCs w:val="22"/>
        </w:rPr>
        <w:t xml:space="preserve">Le bouton « Atterrir » met isLanded à true et stocke hasLanded dans le localStorage.</w:t>
      </w:r>
    </w:p>
    <w:p>
      <w:pPr>
        <w:pStyle w:val="ListParagraph"/>
        <w:numPr>
          <w:ilvl w:val="0"/>
          <w:numId w:val="6"/>
        </w:numPr>
        <w:spacing w:after="80"/>
      </w:pPr>
      <w:r>
        <w:rPr>
          <w:rFonts w:ascii="Arial" w:cs="Arial" w:eastAsia="Arial" w:hAnsi="Arial"/>
          <w:sz w:val="22"/>
          <w:szCs w:val="22"/>
        </w:rPr>
        <w:t xml:space="preserve">Conditionner l’affichage des données climatiques, l’accès aux filtres climatiques, et l’ordre de tri de la liste à cet état.</w:t>
      </w:r>
    </w:p>
    <w:p>
      <w:pPr>
        <w:pStyle w:val="ListParagraph"/>
        <w:numPr>
          <w:ilvl w:val="0"/>
          <w:numId w:val="6"/>
        </w:numPr>
        <w:spacing w:after="80"/>
      </w:pPr>
      <w:r>
        <w:rPr>
          <w:rFonts w:ascii="Arial" w:cs="Arial" w:eastAsia="Arial" w:hAnsi="Arial"/>
          <w:sz w:val="22"/>
          <w:szCs w:val="22"/>
        </w:rPr>
        <w:t xml:space="preserve">Créer un composant ClimateWeighting (panneau avec 5 sliders) accessible après atterrissage.</w:t>
      </w:r>
    </w:p>
    <w:p>
      <w:pPr>
        <w:pStyle w:val="ListParagraph"/>
        <w:numPr>
          <w:ilvl w:val="0"/>
          <w:numId w:val="6"/>
        </w:numPr>
        <w:spacing w:after="80"/>
      </w:pPr>
      <w:r>
        <w:rPr>
          <w:rFonts w:ascii="Arial" w:cs="Arial" w:eastAsia="Arial" w:hAnsi="Arial"/>
          <w:sz w:val="22"/>
          <w:szCs w:val="22"/>
        </w:rPr>
        <w:t xml:space="preserve">Modifier le composant CommuneCard pour afficher les indicateurs phares des 5 familles quand isLanded est true.</w:t>
      </w:r>
    </w:p>
    <w:p>
      <w:pPr>
        <w:pStyle w:val="ListParagraph"/>
        <w:numPr>
          <w:ilvl w:val="0"/>
          <w:numId w:val="6"/>
        </w:numPr>
        <w:spacing w:after="80"/>
      </w:pPr>
      <w:r>
        <w:rPr>
          <w:rFonts w:ascii="Arial" w:cs="Arial" w:eastAsia="Arial" w:hAnsi="Arial"/>
          <w:sz w:val="22"/>
          <w:szCs w:val="22"/>
        </w:rPr>
        <w:t xml:space="preserve">Modifier le CommuneDrawer pour afficher ou masquer les projections climatiques selon isLanded.</w:t>
      </w:r>
    </w:p>
    <w:p>
      <w:pPr>
        <w:pStyle w:val="ListParagraph"/>
        <w:numPr>
          <w:ilvl w:val="0"/>
          <w:numId w:val="6"/>
        </w:numPr>
        <w:spacing w:after="80"/>
      </w:pPr>
      <w:r>
        <w:rPr>
          <w:rFonts w:ascii="Arial" w:cs="Arial" w:eastAsia="Arial" w:hAnsi="Arial"/>
          <w:sz w:val="22"/>
          <w:szCs w:val="22"/>
        </w:rPr>
        <w:t xml:space="preserve">Ajouter un marqueur visuel persistant dans le header quand isLanded est true.</w:t>
      </w:r>
    </w:p>
    <w:p>
      <w:pPr>
        <w:pStyle w:val="ListParagraph"/>
        <w:numPr>
          <w:ilvl w:val="0"/>
          <w:numId w:val="6"/>
        </w:numPr>
        <w:spacing w:after="80"/>
      </w:pPr>
      <w:r>
        <w:rPr>
          <w:rFonts w:ascii="Arial" w:cs="Arial" w:eastAsia="Arial" w:hAnsi="Arial"/>
          <w:sz w:val="22"/>
          <w:szCs w:val="22"/>
        </w:rPr>
        <w:t xml:space="preserve">Griser la section « Environnement et risques » du FilterSheet quand isLanded est false.</w:t>
      </w:r>
    </w:p>
    <w:p>
      <w:pPr>
        <w:pStyle w:val="ListParagraph"/>
        <w:numPr>
          <w:ilvl w:val="0"/>
          <w:numId w:val="6"/>
        </w:numPr>
        <w:spacing w:after="80"/>
      </w:pPr>
      <w:r>
        <w:rPr>
          <w:rFonts w:ascii="Arial" w:cs="Arial" w:eastAsia="Arial" w:hAnsi="Arial"/>
          <w:sz w:val="22"/>
          <w:szCs w:val="22"/>
        </w:rPr>
        <w:t xml:space="preserve">Au chargement : vérifier localStorage. Si hasLanded existe, initialiser isLanded à true directement.</w:t>
      </w:r>
    </w:p>
    <w:p>
      <w:pPr>
        <w:spacing w:after="200"/>
      </w:pPr>
    </w:p>
    <w:p>
      <w:pPr>
        <w:pStyle w:val="Heading2"/>
      </w:pPr>
      <w:r>
        <w:t xml:space="preserve">Design / UI</w:t>
      </w:r>
    </w:p>
    <w:p>
      <w:pPr>
        <w:spacing w:after="120"/>
      </w:pPr>
      <w:r>
        <w:rPr>
          <w:rFonts w:ascii="Arial" w:cs="Arial" w:eastAsia="Arial" w:hAnsi="Arial"/>
          <w:sz w:val="22"/>
          <w:szCs w:val="22"/>
        </w:rPr>
        <w:t xml:space="preserve">Points de design à traiter (pour Gemini canvas ou maquettes) :</w:t>
      </w:r>
    </w:p>
    <w:p>
      <w:pPr>
        <w:pStyle w:val="ListParagraph"/>
        <w:numPr>
          <w:ilvl w:val="0"/>
          <w:numId w:val="2"/>
        </w:numPr>
        <w:spacing w:after="80"/>
      </w:pPr>
      <w:r>
        <w:rPr>
          <w:rFonts w:ascii="Arial" w:cs="Arial" w:eastAsia="Arial" w:hAnsi="Arial"/>
          <w:sz w:val="22"/>
          <w:szCs w:val="22"/>
        </w:rPr>
        <w:t xml:space="preserve">Apparence et positionnement du bouton « Atterrir » dans le layout principal.</w:t>
      </w:r>
    </w:p>
    <w:p>
      <w:pPr>
        <w:pStyle w:val="ListParagraph"/>
        <w:numPr>
          <w:ilvl w:val="0"/>
          <w:numId w:val="2"/>
        </w:numPr>
        <w:spacing w:after="80"/>
      </w:pPr>
      <w:r>
        <w:rPr>
          <w:rFonts w:ascii="Arial" w:cs="Arial" w:eastAsia="Arial" w:hAnsi="Arial"/>
          <w:sz w:val="22"/>
          <w:szCs w:val="22"/>
        </w:rPr>
        <w:t xml:space="preserve">Design des 5 indicateurs visuels par famille sur les cartes communes (badges, micro-jauges, icônes avec couleur…).</w:t>
      </w:r>
    </w:p>
    <w:p>
      <w:pPr>
        <w:pStyle w:val="ListParagraph"/>
        <w:numPr>
          <w:ilvl w:val="0"/>
          <w:numId w:val="2"/>
        </w:numPr>
        <w:spacing w:after="80"/>
      </w:pPr>
      <w:r>
        <w:rPr>
          <w:rFonts w:ascii="Arial" w:cs="Arial" w:eastAsia="Arial" w:hAnsi="Arial"/>
          <w:sz w:val="22"/>
          <w:szCs w:val="22"/>
        </w:rPr>
        <w:t xml:space="preserve">Transition visuelle au moment de l’atterrissage (animation, changement de couleur de fond, gradient sur la carte…).</w:t>
      </w:r>
    </w:p>
    <w:p>
      <w:pPr>
        <w:pStyle w:val="ListParagraph"/>
        <w:numPr>
          <w:ilvl w:val="0"/>
          <w:numId w:val="2"/>
        </w:numPr>
        <w:spacing w:after="80"/>
      </w:pPr>
      <w:r>
        <w:rPr>
          <w:rFonts w:ascii="Arial" w:cs="Arial" w:eastAsia="Arial" w:hAnsi="Arial"/>
          <w:sz w:val="22"/>
          <w:szCs w:val="22"/>
        </w:rPr>
        <w:t xml:space="preserve">Design du panneau de pondération (5 sliders avec labels et feedback visuel immédiat).</w:t>
      </w:r>
    </w:p>
    <w:p>
      <w:pPr>
        <w:pStyle w:val="ListParagraph"/>
        <w:numPr>
          <w:ilvl w:val="0"/>
          <w:numId w:val="2"/>
        </w:numPr>
        <w:spacing w:after="80"/>
      </w:pPr>
      <w:r>
        <w:rPr>
          <w:rFonts w:ascii="Arial" w:cs="Arial" w:eastAsia="Arial" w:hAnsi="Arial"/>
          <w:sz w:val="22"/>
          <w:szCs w:val="22"/>
        </w:rPr>
        <w:t xml:space="preserve">Design de l’état grisé / verrouillé de la section filtres climatiques.</w:t>
      </w:r>
    </w:p>
    <w:p>
      <w:pPr>
        <w:pStyle w:val="ListParagraph"/>
        <w:numPr>
          <w:ilvl w:val="0"/>
          <w:numId w:val="2"/>
        </w:numPr>
        <w:spacing w:after="80"/>
      </w:pPr>
      <w:r>
        <w:rPr>
          <w:rFonts w:ascii="Arial" w:cs="Arial" w:eastAsia="Arial" w:hAnsi="Arial"/>
          <w:sz w:val="22"/>
          <w:szCs w:val="22"/>
        </w:rPr>
        <w:t xml:space="preserve">Marqueur visuel persistant dans le header (badge, bannière, changement de couleur…).</w:t>
      </w:r>
    </w:p>
    <w:p>
      <w:pPr>
        <w:pStyle w:val="ListParagraph"/>
        <w:numPr>
          <w:ilvl w:val="0"/>
          <w:numId w:val="2"/>
        </w:numPr>
        <w:spacing w:after="80"/>
      </w:pPr>
      <w:r>
        <w:rPr>
          <w:rFonts w:ascii="Arial" w:cs="Arial" w:eastAsia="Arial" w:hAnsi="Arial"/>
          <w:sz w:val="22"/>
          <w:szCs w:val="22"/>
        </w:rPr>
        <w:t xml:space="preserve">Message et ton pour le lien « Accès direct » destiné aux utilisateurs récurrents.</w:t>
      </w:r>
    </w:p>
    <w:p>
      <w:pPr>
        <w:pStyle w:val="ListParagraph"/>
        <w:numPr>
          <w:ilvl w:val="0"/>
          <w:numId w:val="2"/>
        </w:numPr>
        <w:spacing w:after="80"/>
      </w:pPr>
      <w:r>
        <w:rPr>
          <w:rFonts w:ascii="Arial" w:cs="Arial" w:eastAsia="Arial" w:hAnsi="Arial"/>
          <w:sz w:val="22"/>
          <w:szCs w:val="22"/>
        </w:rPr>
        <w:t xml:space="preserve">Indication pédagogique sur la période de référence (1976-2005) vs 2030 dans les graphiques.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374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5B63D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2026-03-12T09:05:21.585Z</dcterms:created>
  <dcterms:modified xsi:type="dcterms:W3CDTF">2026-03-12T09:05:21.586Z</dcterms:modified>
</cp:coreProperties>
</file>

<file path=docProps/custom.xml><?xml version="1.0" encoding="utf-8"?>
<Properties xmlns="http://schemas.openxmlformats.org/officeDocument/2006/custom-properties" xmlns:vt="http://schemas.openxmlformats.org/officeDocument/2006/docPropsVTypes"/>
</file>