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800"/>
      </w:tblGrid>
      <w:tr>
        <w:tc>
          <w:tcPr>
            <w:tcW w:type="dxa" w:w="9360"/>
            <w:shd w:val="clear" w:color="auto" w:fill="B89655"/>
          </w:tcPr>
          <w:p>
            <w:r/>
          </w:p>
        </w:tc>
      </w:tr>
    </w:tbl>
    <w:p>
      <w:pPr>
        <w:spacing w:before="0" w:after="60"/>
      </w:pPr>
    </w:p>
    <w:tbl>
      <w:tblPr>
        <w:tblW w:type="auto" w:w="0"/>
        <w:tblLayout w:type="fixed"/>
        <w:tblLook w:firstColumn="1" w:firstRow="1" w:lastColumn="0" w:lastRow="0" w:noHBand="0" w:noVBand="1" w:val="04A0"/>
      </w:tblPr>
      <w:tblGrid>
        <w:gridCol w:w="2880"/>
        <w:gridCol w:w="7920"/>
      </w:tblGrid>
      <w:tr>
        <w:tc>
          <w:tcPr>
            <w:tcW w:type="dxa" w:w="4680"/>
            <w:vAlign w:val="center"/>
          </w:tcPr>
          <w:p>
            <w:pPr>
              <w:jc w:val="left"/>
            </w:pPr>
            <w:r>
              <w:drawing>
                <wp:inline xmlns:a="http://schemas.openxmlformats.org/drawingml/2006/main" xmlns:pic="http://schemas.openxmlformats.org/drawingml/2006/picture">
                  <wp:extent cx="1554480" cy="69877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54480" cy="698776"/>
                          </a:xfrm>
                          <a:prstGeom prst="rect"/>
                        </pic:spPr>
                      </pic:pic>
                    </a:graphicData>
                  </a:graphic>
                </wp:inline>
              </w:drawing>
            </w:r>
          </w:p>
        </w:tc>
        <w:tc>
          <w:tcPr>
            <w:tcW w:type="dxa" w:w="4680"/>
            <w:vAlign w:val="center"/>
          </w:tcPr>
          <w:p/>
          <w:p>
            <w:pPr>
              <w:spacing w:before="0" w:after="20"/>
              <w:jc w:val="right"/>
            </w:pPr>
            <w:r>
              <w:rPr>
                <w:rFonts w:ascii="Garamond" w:hAnsi="Garamond"/>
                <w:b/>
                <w:i w:val="0"/>
                <w:color w:val="B89655"/>
                <w:sz w:val="18"/>
              </w:rPr>
              <w:t>WYNN RESORTS</w:t>
            </w:r>
          </w:p>
          <w:p>
            <w:pPr>
              <w:spacing w:before="0" w:after="40"/>
              <w:jc w:val="right"/>
            </w:pPr>
            <w:r>
              <w:rPr>
                <w:rFonts w:ascii="Garamond" w:hAnsi="Garamond"/>
                <w:b w:val="0"/>
                <w:i/>
                <w:color w:val="6B6B6B"/>
                <w:sz w:val="16"/>
              </w:rPr>
              <w:t>Office of the CFO | Corporate Finance</w:t>
            </w:r>
          </w:p>
          <w:p>
            <w:pPr>
              <w:spacing w:before="0" w:after="0"/>
              <w:jc w:val="right"/>
            </w:pPr>
            <w:r>
              <w:rPr>
                <w:rFonts w:ascii="Garamond" w:hAnsi="Garamond"/>
                <w:b/>
                <w:i w:val="0"/>
                <w:color w:val="C0392B"/>
                <w:sz w:val="15"/>
              </w:rPr>
              <w:t>STRICTLY CONFIDENTIAL</w:t>
            </w:r>
          </w:p>
        </w:tc>
      </w:tr>
    </w:tbl>
    <w:p>
      <w:pPr>
        <w:spacing w:before="40" w:after="40"/>
        <w:pBdr>
          <w:bottom w:val="single" w:sz="16" w:space="1" w:color="B89655"/>
        </w:pBdr>
      </w:pPr>
    </w:p>
    <w:p>
      <w:pPr>
        <w:spacing w:before="0" w:after="60"/>
      </w:pPr>
    </w:p>
    <w:p>
      <w:pPr>
        <w:spacing w:before="0" w:after="80"/>
      </w:pPr>
      <w:r>
        <w:rPr>
          <w:rFonts w:ascii="Garamond" w:hAnsi="Garamond"/>
          <w:b/>
          <w:i w:val="0"/>
          <w:color w:val="6B6B6B"/>
          <w:sz w:val="18"/>
        </w:rPr>
        <w:t>INTERNAL AUDIT REPORT</w:t>
        <w:br/>
      </w:r>
      <w:r>
        <w:rPr>
          <w:rFonts w:ascii="Garamond" w:hAnsi="Garamond"/>
          <w:b/>
          <w:i w:val="0"/>
          <w:color w:val="1A1A2E"/>
          <w:sz w:val="36"/>
        </w:rPr>
        <w:t>Capital Investment Proposal: Wynn Las Vegas Gaming Floor Modernization</w:t>
      </w:r>
    </w:p>
    <w:p>
      <w:pPr>
        <w:spacing w:before="40" w:after="40"/>
        <w:pBdr>
          <w:bottom w:val="single" w:sz="8" w:space="1" w:color="B89655"/>
        </w:pBdr>
      </w:pPr>
    </w:p>
    <w:p>
      <w:pPr>
        <w:spacing w:before="0" w:after="120"/>
      </w:pPr>
    </w:p>
    <w:tbl>
      <w:tblPr>
        <w:tblStyle w:val="TableGrid"/>
        <w:tblW w:type="auto" w:w="0"/>
        <w:tblLayout w:type="fixed"/>
        <w:tblLook w:firstColumn="1" w:firstRow="1" w:lastColumn="0" w:lastRow="0" w:noHBand="0" w:noVBand="1" w:val="04A0"/>
      </w:tblPr>
      <w:tblGrid>
        <w:gridCol w:w="2880"/>
        <w:gridCol w:w="7920"/>
      </w:tblGrid>
      <w:tr>
        <w:tc>
          <w:tcPr>
            <w:tcW w:type="dxa" w:w="4680"/>
            <w:shd w:val="clear" w:color="auto" w:fill="1A1A2E"/>
          </w:tcPr>
          <w:p>
            <w:r>
              <w:rPr>
                <w:rFonts w:ascii="Garamond" w:hAnsi="Garamond"/>
                <w:b/>
                <w:i w:val="0"/>
                <w:color w:val="FFFFFF"/>
                <w:sz w:val="18"/>
              </w:rPr>
              <w:t>Project Code</w:t>
            </w:r>
          </w:p>
        </w:tc>
        <w:tc>
          <w:tcPr>
            <w:tcW w:type="dxa" w:w="4680"/>
            <w:shd w:val="clear" w:color="auto" w:fill="1A1A2E"/>
          </w:tcPr>
          <w:p>
            <w:r>
              <w:rPr>
                <w:rFonts w:ascii="Garamond" w:hAnsi="Garamond"/>
                <w:b w:val="0"/>
                <w:i w:val="0"/>
                <w:color w:val="FFFFFF"/>
                <w:sz w:val="18"/>
              </w:rPr>
              <w:t>CAPEX-2025-014</w:t>
            </w:r>
          </w:p>
        </w:tc>
      </w:tr>
      <w:tr>
        <w:tc>
          <w:tcPr>
            <w:tcW w:type="dxa" w:w="4680"/>
            <w:shd w:val="clear" w:color="auto" w:fill="FFFFFF"/>
          </w:tcPr>
          <w:p>
            <w:r>
              <w:rPr>
                <w:rFonts w:ascii="Garamond" w:hAnsi="Garamond"/>
                <w:b/>
                <w:i w:val="0"/>
                <w:color w:val="1A1A2E"/>
                <w:sz w:val="18"/>
              </w:rPr>
              <w:t>Requested By</w:t>
            </w:r>
          </w:p>
        </w:tc>
        <w:tc>
          <w:tcPr>
            <w:tcW w:type="dxa" w:w="4680"/>
            <w:shd w:val="clear" w:color="auto" w:fill="FFFFFF"/>
          </w:tcPr>
          <w:p>
            <w:r>
              <w:rPr>
                <w:rFonts w:ascii="Garamond" w:hAnsi="Garamond"/>
                <w:b w:val="0"/>
                <w:i w:val="0"/>
                <w:color w:val="1A1A1A"/>
                <w:sz w:val="18"/>
              </w:rPr>
              <w:t>VP Casino Operations</w:t>
            </w:r>
          </w:p>
        </w:tc>
      </w:tr>
      <w:tr>
        <w:tc>
          <w:tcPr>
            <w:tcW w:type="dxa" w:w="4680"/>
            <w:shd w:val="clear" w:color="auto" w:fill="F5F5F5"/>
          </w:tcPr>
          <w:p>
            <w:r>
              <w:rPr>
                <w:rFonts w:ascii="Garamond" w:hAnsi="Garamond"/>
                <w:b/>
                <w:i w:val="0"/>
                <w:color w:val="1A1A2E"/>
                <w:sz w:val="18"/>
              </w:rPr>
              <w:t>Total Investment</w:t>
            </w:r>
          </w:p>
        </w:tc>
        <w:tc>
          <w:tcPr>
            <w:tcW w:type="dxa" w:w="4680"/>
            <w:shd w:val="clear" w:color="auto" w:fill="F5F5F5"/>
          </w:tcPr>
          <w:p>
            <w:r>
              <w:rPr>
                <w:rFonts w:ascii="Garamond" w:hAnsi="Garamond"/>
                <w:b w:val="0"/>
                <w:i w:val="0"/>
                <w:color w:val="1A1A1A"/>
                <w:sz w:val="18"/>
              </w:rPr>
              <w:t>$42.5M</w:t>
            </w:r>
          </w:p>
        </w:tc>
      </w:tr>
      <w:tr>
        <w:tc>
          <w:tcPr>
            <w:tcW w:type="dxa" w:w="4680"/>
            <w:shd w:val="clear" w:color="auto" w:fill="FFFFFF"/>
          </w:tcPr>
          <w:p>
            <w:r>
              <w:rPr>
                <w:rFonts w:ascii="Garamond" w:hAnsi="Garamond"/>
                <w:b/>
                <w:i w:val="0"/>
                <w:color w:val="1A1A2E"/>
                <w:sz w:val="18"/>
              </w:rPr>
              <w:t>Submission Date</w:t>
            </w:r>
          </w:p>
        </w:tc>
        <w:tc>
          <w:tcPr>
            <w:tcW w:type="dxa" w:w="4680"/>
            <w:shd w:val="clear" w:color="auto" w:fill="FFFFFF"/>
          </w:tcPr>
          <w:p>
            <w:r>
              <w:rPr>
                <w:rFonts w:ascii="Garamond" w:hAnsi="Garamond"/>
                <w:b w:val="0"/>
                <w:i w:val="0"/>
                <w:color w:val="1A1A1A"/>
                <w:sz w:val="18"/>
              </w:rPr>
              <w:t>March 2025</w:t>
            </w:r>
          </w:p>
        </w:tc>
      </w:tr>
    </w:tbl>
    <w:p>
      <w:pPr>
        <w:spacing w:before="0" w:after="160"/>
      </w:pPr>
    </w:p>
    <w:p>
      <w:pPr>
        <w:spacing w:before="280" w:after="80"/>
      </w:pPr>
      <w:r>
        <w:rPr>
          <w:rFonts w:ascii="Garamond" w:hAnsi="Garamond"/>
          <w:b/>
          <w:i w:val="0"/>
          <w:color w:val="1A1A2E"/>
          <w:sz w:val="30"/>
        </w:rPr>
        <w:t>Executive Summary</w:t>
      </w:r>
    </w:p>
    <w:p>
      <w:pPr>
        <w:spacing w:before="40" w:after="40"/>
        <w:pBdr>
          <w:bottom w:val="single" w:sz="16" w:space="1" w:color="B89655"/>
        </w:pBdr>
      </w:pPr>
    </w:p>
    <w:p>
      <w:pPr>
        <w:spacing w:before="20" w:after="80"/>
      </w:pPr>
      <w:r>
        <w:rPr>
          <w:rFonts w:ascii="Garamond" w:hAnsi="Garamond"/>
          <w:b w:val="0"/>
          <w:i w:val="0"/>
          <w:color w:val="1A1A1A"/>
          <w:sz w:val="20"/>
        </w:rPr>
        <w:t>This proposal requests $42.5M to modernize the Wynn Las Vegas gaming floor, replacing 380 aging slot machines (average age 8.4 years) with IGT and Aristocrat units featuring enhanced player tracking, and redesigning three premium table game areas. Projected IRR of 24.1% over five years, above the 18% hurdle rate for gaming floor investments.</w:t>
      </w:r>
    </w:p>
    <w:p>
      <w:pPr>
        <w:spacing w:before="160" w:after="80"/>
      </w:pPr>
      <w:r>
        <w:rPr>
          <w:rFonts w:ascii="Garamond" w:hAnsi="Garamond"/>
          <w:b/>
          <w:i w:val="0"/>
          <w:color w:val="1A1A2E"/>
          <w:sz w:val="24"/>
        </w:rPr>
        <w:t>Financial Case</w:t>
      </w:r>
    </w:p>
    <w:p>
      <w:pPr>
        <w:spacing w:before="40" w:after="40"/>
        <w:pBdr>
          <w:bottom w:val="single" w:sz="8" w:space="1" w:color="6B6B6B"/>
        </w:pBdr>
      </w:pP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A1A2E"/>
          </w:tcPr>
          <w:p>
            <w:pPr>
              <w:jc w:val="center"/>
            </w:pPr>
            <w:r>
              <w:rPr>
                <w:rFonts w:ascii="Garamond" w:hAnsi="Garamond"/>
                <w:b/>
                <w:i w:val="0"/>
                <w:color w:val="FFFFFF"/>
                <w:sz w:val="18"/>
              </w:rPr>
              <w:t>Metric</w:t>
            </w:r>
          </w:p>
        </w:tc>
        <w:tc>
          <w:tcPr>
            <w:tcW w:type="dxa" w:w="1560"/>
            <w:shd w:val="clear" w:color="auto" w:fill="1A1A2E"/>
          </w:tcPr>
          <w:p>
            <w:pPr>
              <w:jc w:val="center"/>
            </w:pPr>
            <w:r>
              <w:rPr>
                <w:rFonts w:ascii="Garamond" w:hAnsi="Garamond"/>
                <w:b/>
                <w:i w:val="0"/>
                <w:color w:val="FFFFFF"/>
                <w:sz w:val="18"/>
              </w:rPr>
              <w:t>Year 1</w:t>
            </w:r>
          </w:p>
        </w:tc>
        <w:tc>
          <w:tcPr>
            <w:tcW w:type="dxa" w:w="1560"/>
            <w:shd w:val="clear" w:color="auto" w:fill="1A1A2E"/>
          </w:tcPr>
          <w:p>
            <w:pPr>
              <w:jc w:val="center"/>
            </w:pPr>
            <w:r>
              <w:rPr>
                <w:rFonts w:ascii="Garamond" w:hAnsi="Garamond"/>
                <w:b/>
                <w:i w:val="0"/>
                <w:color w:val="FFFFFF"/>
                <w:sz w:val="18"/>
              </w:rPr>
              <w:t>Year 2</w:t>
            </w:r>
          </w:p>
        </w:tc>
        <w:tc>
          <w:tcPr>
            <w:tcW w:type="dxa" w:w="1560"/>
            <w:shd w:val="clear" w:color="auto" w:fill="1A1A2E"/>
          </w:tcPr>
          <w:p>
            <w:pPr>
              <w:jc w:val="center"/>
            </w:pPr>
            <w:r>
              <w:rPr>
                <w:rFonts w:ascii="Garamond" w:hAnsi="Garamond"/>
                <w:b/>
                <w:i w:val="0"/>
                <w:color w:val="FFFFFF"/>
                <w:sz w:val="18"/>
              </w:rPr>
              <w:t>Year 3</w:t>
            </w:r>
          </w:p>
        </w:tc>
        <w:tc>
          <w:tcPr>
            <w:tcW w:type="dxa" w:w="1560"/>
            <w:shd w:val="clear" w:color="auto" w:fill="1A1A2E"/>
          </w:tcPr>
          <w:p>
            <w:pPr>
              <w:jc w:val="center"/>
            </w:pPr>
            <w:r>
              <w:rPr>
                <w:rFonts w:ascii="Garamond" w:hAnsi="Garamond"/>
                <w:b/>
                <w:i w:val="0"/>
                <w:color w:val="FFFFFF"/>
                <w:sz w:val="18"/>
              </w:rPr>
              <w:t>Year 4</w:t>
            </w:r>
          </w:p>
        </w:tc>
        <w:tc>
          <w:tcPr>
            <w:tcW w:type="dxa" w:w="1560"/>
            <w:shd w:val="clear" w:color="auto" w:fill="1A1A2E"/>
          </w:tcPr>
          <w:p>
            <w:pPr>
              <w:jc w:val="center"/>
            </w:pPr>
            <w:r>
              <w:rPr>
                <w:rFonts w:ascii="Garamond" w:hAnsi="Garamond"/>
                <w:b/>
                <w:i w:val="0"/>
                <w:color w:val="FFFFFF"/>
                <w:sz w:val="18"/>
              </w:rPr>
              <w:t>Year 5</w:t>
            </w:r>
          </w:p>
        </w:tc>
      </w:tr>
      <w:tr>
        <w:tc>
          <w:tcPr>
            <w:tcW w:type="dxa" w:w="1560"/>
            <w:shd w:val="clear" w:color="auto" w:fill="F5F5F5"/>
          </w:tcPr>
          <w:p>
            <w:r>
              <w:rPr>
                <w:rFonts w:ascii="Garamond" w:hAnsi="Garamond"/>
                <w:b w:val="0"/>
                <w:i w:val="0"/>
                <w:color w:val="1A1A1A"/>
                <w:sz w:val="18"/>
              </w:rPr>
              <w:t>Incremental Revenue ($M)</w:t>
            </w:r>
          </w:p>
        </w:tc>
        <w:tc>
          <w:tcPr>
            <w:tcW w:type="dxa" w:w="1560"/>
            <w:shd w:val="clear" w:color="auto" w:fill="F5F5F5"/>
          </w:tcPr>
          <w:p>
            <w:r>
              <w:rPr>
                <w:rFonts w:ascii="Garamond" w:hAnsi="Garamond"/>
                <w:b w:val="0"/>
                <w:i w:val="0"/>
                <w:color w:val="1A1A1A"/>
                <w:sz w:val="18"/>
              </w:rPr>
              <w:t>8.4</w:t>
            </w:r>
          </w:p>
        </w:tc>
        <w:tc>
          <w:tcPr>
            <w:tcW w:type="dxa" w:w="1560"/>
            <w:shd w:val="clear" w:color="auto" w:fill="F5F5F5"/>
          </w:tcPr>
          <w:p>
            <w:r>
              <w:rPr>
                <w:rFonts w:ascii="Garamond" w:hAnsi="Garamond"/>
                <w:b w:val="0"/>
                <w:i w:val="0"/>
                <w:color w:val="1A1A1A"/>
                <w:sz w:val="18"/>
              </w:rPr>
              <w:t>16.1</w:t>
            </w:r>
          </w:p>
        </w:tc>
        <w:tc>
          <w:tcPr>
            <w:tcW w:type="dxa" w:w="1560"/>
            <w:shd w:val="clear" w:color="auto" w:fill="F5F5F5"/>
          </w:tcPr>
          <w:p>
            <w:r>
              <w:rPr>
                <w:rFonts w:ascii="Garamond" w:hAnsi="Garamond"/>
                <w:b w:val="0"/>
                <w:i w:val="0"/>
                <w:color w:val="1A1A1A"/>
                <w:sz w:val="18"/>
              </w:rPr>
              <w:t>18.9</w:t>
            </w:r>
          </w:p>
        </w:tc>
        <w:tc>
          <w:tcPr>
            <w:tcW w:type="dxa" w:w="1560"/>
            <w:shd w:val="clear" w:color="auto" w:fill="F5F5F5"/>
          </w:tcPr>
          <w:p>
            <w:r>
              <w:rPr>
                <w:rFonts w:ascii="Garamond" w:hAnsi="Garamond"/>
                <w:b w:val="0"/>
                <w:i w:val="0"/>
                <w:color w:val="1A1A1A"/>
                <w:sz w:val="18"/>
              </w:rPr>
              <w:t>19.4</w:t>
            </w:r>
          </w:p>
        </w:tc>
        <w:tc>
          <w:tcPr>
            <w:tcW w:type="dxa" w:w="1560"/>
            <w:shd w:val="clear" w:color="auto" w:fill="F5F5F5"/>
          </w:tcPr>
          <w:p>
            <w:r>
              <w:rPr>
                <w:rFonts w:ascii="Garamond" w:hAnsi="Garamond"/>
                <w:b w:val="0"/>
                <w:i w:val="0"/>
                <w:color w:val="1A1A1A"/>
                <w:sz w:val="18"/>
              </w:rPr>
              <w:t>19.8</w:t>
            </w:r>
          </w:p>
        </w:tc>
      </w:tr>
      <w:tr>
        <w:tc>
          <w:tcPr>
            <w:tcW w:type="dxa" w:w="1560"/>
            <w:shd w:val="clear" w:color="auto" w:fill="FFFFFF"/>
          </w:tcPr>
          <w:p>
            <w:r>
              <w:rPr>
                <w:rFonts w:ascii="Garamond" w:hAnsi="Garamond"/>
                <w:b w:val="0"/>
                <w:i w:val="0"/>
                <w:color w:val="1A1A1A"/>
                <w:sz w:val="18"/>
              </w:rPr>
              <w:t>Incremental EBITDA ($M)</w:t>
            </w:r>
          </w:p>
        </w:tc>
        <w:tc>
          <w:tcPr>
            <w:tcW w:type="dxa" w:w="1560"/>
            <w:shd w:val="clear" w:color="auto" w:fill="FFFFFF"/>
          </w:tcPr>
          <w:p>
            <w:r>
              <w:rPr>
                <w:rFonts w:ascii="Garamond" w:hAnsi="Garamond"/>
                <w:b w:val="0"/>
                <w:i w:val="0"/>
                <w:color w:val="1A1A1A"/>
                <w:sz w:val="18"/>
              </w:rPr>
              <w:t>3.2</w:t>
            </w:r>
          </w:p>
        </w:tc>
        <w:tc>
          <w:tcPr>
            <w:tcW w:type="dxa" w:w="1560"/>
            <w:shd w:val="clear" w:color="auto" w:fill="FFFFFF"/>
          </w:tcPr>
          <w:p>
            <w:r>
              <w:rPr>
                <w:rFonts w:ascii="Garamond" w:hAnsi="Garamond"/>
                <w:b w:val="0"/>
                <w:i w:val="0"/>
                <w:color w:val="1A1A1A"/>
                <w:sz w:val="18"/>
              </w:rPr>
              <w:t>12.4</w:t>
            </w:r>
          </w:p>
        </w:tc>
        <w:tc>
          <w:tcPr>
            <w:tcW w:type="dxa" w:w="1560"/>
            <w:shd w:val="clear" w:color="auto" w:fill="FFFFFF"/>
          </w:tcPr>
          <w:p>
            <w:r>
              <w:rPr>
                <w:rFonts w:ascii="Garamond" w:hAnsi="Garamond"/>
                <w:b w:val="0"/>
                <w:i w:val="0"/>
                <w:color w:val="1A1A1A"/>
                <w:sz w:val="18"/>
              </w:rPr>
              <w:t>18.2</w:t>
            </w:r>
          </w:p>
        </w:tc>
        <w:tc>
          <w:tcPr>
            <w:tcW w:type="dxa" w:w="1560"/>
            <w:shd w:val="clear" w:color="auto" w:fill="FFFFFF"/>
          </w:tcPr>
          <w:p>
            <w:r>
              <w:rPr>
                <w:rFonts w:ascii="Garamond" w:hAnsi="Garamond"/>
                <w:b w:val="0"/>
                <w:i w:val="0"/>
                <w:color w:val="1A1A1A"/>
                <w:sz w:val="18"/>
              </w:rPr>
              <w:t>18.7</w:t>
            </w:r>
          </w:p>
        </w:tc>
        <w:tc>
          <w:tcPr>
            <w:tcW w:type="dxa" w:w="1560"/>
            <w:shd w:val="clear" w:color="auto" w:fill="FFFFFF"/>
          </w:tcPr>
          <w:p>
            <w:r>
              <w:rPr>
                <w:rFonts w:ascii="Garamond" w:hAnsi="Garamond"/>
                <w:b w:val="0"/>
                <w:i w:val="0"/>
                <w:color w:val="1A1A1A"/>
                <w:sz w:val="18"/>
              </w:rPr>
              <w:t>19.1</w:t>
            </w:r>
          </w:p>
        </w:tc>
      </w:tr>
      <w:tr>
        <w:tc>
          <w:tcPr>
            <w:tcW w:type="dxa" w:w="1560"/>
            <w:shd w:val="clear" w:color="auto" w:fill="F5F5F5"/>
          </w:tcPr>
          <w:p>
            <w:r>
              <w:rPr>
                <w:rFonts w:ascii="Garamond" w:hAnsi="Garamond"/>
                <w:b w:val="0"/>
                <w:i w:val="0"/>
                <w:color w:val="1A1A1A"/>
                <w:sz w:val="18"/>
              </w:rPr>
              <w:t>Capex Outflow ($M)</w:t>
            </w:r>
          </w:p>
        </w:tc>
        <w:tc>
          <w:tcPr>
            <w:tcW w:type="dxa" w:w="1560"/>
            <w:shd w:val="clear" w:color="auto" w:fill="F5F5F5"/>
          </w:tcPr>
          <w:p>
            <w:r>
              <w:rPr>
                <w:rFonts w:ascii="Garamond" w:hAnsi="Garamond"/>
                <w:b w:val="0"/>
                <w:i w:val="0"/>
                <w:color w:val="1A1A1A"/>
                <w:sz w:val="18"/>
              </w:rPr>
              <w:t>(42.5)</w:t>
            </w:r>
          </w:p>
        </w:tc>
        <w:tc>
          <w:tcPr>
            <w:tcW w:type="dxa" w:w="1560"/>
            <w:shd w:val="clear" w:color="auto" w:fill="F5F5F5"/>
          </w:tcPr>
          <w:p>
            <w:r>
              <w:rPr>
                <w:rFonts w:ascii="Garamond" w:hAnsi="Garamond"/>
                <w:b w:val="0"/>
                <w:i w:val="0"/>
                <w:color w:val="1A1A1A"/>
                <w:sz w:val="18"/>
              </w:rPr>
              <w:t>---</w:t>
            </w:r>
          </w:p>
        </w:tc>
        <w:tc>
          <w:tcPr>
            <w:tcW w:type="dxa" w:w="1560"/>
            <w:shd w:val="clear" w:color="auto" w:fill="F5F5F5"/>
          </w:tcPr>
          <w:p>
            <w:r>
              <w:rPr>
                <w:rFonts w:ascii="Garamond" w:hAnsi="Garamond"/>
                <w:b w:val="0"/>
                <w:i w:val="0"/>
                <w:color w:val="1A1A1A"/>
                <w:sz w:val="18"/>
              </w:rPr>
              <w:t>---</w:t>
            </w:r>
          </w:p>
        </w:tc>
        <w:tc>
          <w:tcPr>
            <w:tcW w:type="dxa" w:w="1560"/>
            <w:shd w:val="clear" w:color="auto" w:fill="F5F5F5"/>
          </w:tcPr>
          <w:p>
            <w:r>
              <w:rPr>
                <w:rFonts w:ascii="Garamond" w:hAnsi="Garamond"/>
                <w:b w:val="0"/>
                <w:i w:val="0"/>
                <w:color w:val="1A1A1A"/>
                <w:sz w:val="18"/>
              </w:rPr>
              <w:t>---</w:t>
            </w:r>
          </w:p>
        </w:tc>
        <w:tc>
          <w:tcPr>
            <w:tcW w:type="dxa" w:w="1560"/>
            <w:shd w:val="clear" w:color="auto" w:fill="F5F5F5"/>
          </w:tcPr>
          <w:p>
            <w:r>
              <w:rPr>
                <w:rFonts w:ascii="Garamond" w:hAnsi="Garamond"/>
                <w:b w:val="0"/>
                <w:i w:val="0"/>
                <w:color w:val="1A1A1A"/>
                <w:sz w:val="18"/>
              </w:rPr>
              <w:t>---</w:t>
            </w:r>
          </w:p>
        </w:tc>
      </w:tr>
      <w:tr>
        <w:tc>
          <w:tcPr>
            <w:tcW w:type="dxa" w:w="1560"/>
            <w:shd w:val="clear" w:color="auto" w:fill="FFFFFF"/>
          </w:tcPr>
          <w:p>
            <w:r>
              <w:rPr>
                <w:rFonts w:ascii="Garamond" w:hAnsi="Garamond"/>
                <w:b w:val="0"/>
                <w:i w:val="0"/>
                <w:color w:val="1A1A1A"/>
                <w:sz w:val="18"/>
              </w:rPr>
              <w:t>Cumulative NPV ($M)</w:t>
            </w:r>
          </w:p>
        </w:tc>
        <w:tc>
          <w:tcPr>
            <w:tcW w:type="dxa" w:w="1560"/>
            <w:shd w:val="clear" w:color="auto" w:fill="FFFFFF"/>
          </w:tcPr>
          <w:p>
            <w:r>
              <w:rPr>
                <w:rFonts w:ascii="Garamond" w:hAnsi="Garamond"/>
                <w:b w:val="0"/>
                <w:i w:val="0"/>
                <w:color w:val="1A1A1A"/>
                <w:sz w:val="18"/>
              </w:rPr>
              <w:t>(41.1)</w:t>
            </w:r>
          </w:p>
        </w:tc>
        <w:tc>
          <w:tcPr>
            <w:tcW w:type="dxa" w:w="1560"/>
            <w:shd w:val="clear" w:color="auto" w:fill="FFFFFF"/>
          </w:tcPr>
          <w:p>
            <w:r>
              <w:rPr>
                <w:rFonts w:ascii="Garamond" w:hAnsi="Garamond"/>
                <w:b w:val="0"/>
                <w:i w:val="0"/>
                <w:color w:val="1A1A1A"/>
                <w:sz w:val="18"/>
              </w:rPr>
              <w:t>(29.4)</w:t>
            </w:r>
          </w:p>
        </w:tc>
        <w:tc>
          <w:tcPr>
            <w:tcW w:type="dxa" w:w="1560"/>
            <w:shd w:val="clear" w:color="auto" w:fill="FFFFFF"/>
          </w:tcPr>
          <w:p>
            <w:r>
              <w:rPr>
                <w:rFonts w:ascii="Garamond" w:hAnsi="Garamond"/>
                <w:b w:val="0"/>
                <w:i w:val="0"/>
                <w:color w:val="1A1A1A"/>
                <w:sz w:val="18"/>
              </w:rPr>
              <w:t>(13.2)</w:t>
            </w:r>
          </w:p>
        </w:tc>
        <w:tc>
          <w:tcPr>
            <w:tcW w:type="dxa" w:w="1560"/>
            <w:shd w:val="clear" w:color="auto" w:fill="FFFFFF"/>
          </w:tcPr>
          <w:p>
            <w:r>
              <w:rPr>
                <w:rFonts w:ascii="Garamond" w:hAnsi="Garamond"/>
                <w:b w:val="0"/>
                <w:i w:val="0"/>
                <w:color w:val="1A1A1A"/>
                <w:sz w:val="18"/>
              </w:rPr>
              <w:t>3.8</w:t>
            </w:r>
          </w:p>
        </w:tc>
        <w:tc>
          <w:tcPr>
            <w:tcW w:type="dxa" w:w="1560"/>
            <w:shd w:val="clear" w:color="auto" w:fill="FFFFFF"/>
          </w:tcPr>
          <w:p>
            <w:r>
              <w:rPr>
                <w:rFonts w:ascii="Garamond" w:hAnsi="Garamond"/>
                <w:b w:val="0"/>
                <w:i w:val="0"/>
                <w:color w:val="1A1A1A"/>
                <w:sz w:val="18"/>
              </w:rPr>
              <w:t>19.4</w:t>
            </w:r>
          </w:p>
        </w:tc>
      </w:tr>
      <w:tr>
        <w:tc>
          <w:tcPr>
            <w:tcW w:type="dxa" w:w="1560"/>
            <w:shd w:val="clear" w:color="auto" w:fill="F5F5F5"/>
          </w:tcPr>
          <w:p>
            <w:r>
              <w:rPr>
                <w:rFonts w:ascii="Garamond" w:hAnsi="Garamond"/>
                <w:b w:val="0"/>
                <w:i w:val="0"/>
                <w:color w:val="1A1A1A"/>
                <w:sz w:val="18"/>
              </w:rPr>
              <w:t>IRR (5-Year)</w:t>
            </w:r>
          </w:p>
        </w:tc>
        <w:tc>
          <w:tcPr>
            <w:tcW w:type="dxa" w:w="1560"/>
            <w:shd w:val="clear" w:color="auto" w:fill="F5F5F5"/>
          </w:tcPr>
          <w:p>
            <w:r>
              <w:rPr>
                <w:rFonts w:ascii="Garamond" w:hAnsi="Garamond"/>
                <w:b w:val="0"/>
                <w:i w:val="0"/>
                <w:color w:val="1A1A1A"/>
                <w:sz w:val="18"/>
              </w:rPr>
              <w:t>---</w:t>
            </w:r>
          </w:p>
        </w:tc>
        <w:tc>
          <w:tcPr>
            <w:tcW w:type="dxa" w:w="1560"/>
            <w:shd w:val="clear" w:color="auto" w:fill="F5F5F5"/>
          </w:tcPr>
          <w:p>
            <w:r>
              <w:rPr>
                <w:rFonts w:ascii="Garamond" w:hAnsi="Garamond"/>
                <w:b w:val="0"/>
                <w:i w:val="0"/>
                <w:color w:val="1A1A1A"/>
                <w:sz w:val="18"/>
              </w:rPr>
              <w:t>---</w:t>
            </w:r>
          </w:p>
        </w:tc>
        <w:tc>
          <w:tcPr>
            <w:tcW w:type="dxa" w:w="1560"/>
            <w:shd w:val="clear" w:color="auto" w:fill="F5F5F5"/>
          </w:tcPr>
          <w:p>
            <w:r>
              <w:rPr>
                <w:rFonts w:ascii="Garamond" w:hAnsi="Garamond"/>
                <w:b w:val="0"/>
                <w:i w:val="0"/>
                <w:color w:val="1A1A1A"/>
                <w:sz w:val="18"/>
              </w:rPr>
              <w:t>---</w:t>
            </w:r>
          </w:p>
        </w:tc>
        <w:tc>
          <w:tcPr>
            <w:tcW w:type="dxa" w:w="1560"/>
            <w:shd w:val="clear" w:color="auto" w:fill="F5F5F5"/>
          </w:tcPr>
          <w:p>
            <w:r>
              <w:rPr>
                <w:rFonts w:ascii="Garamond" w:hAnsi="Garamond"/>
                <w:b w:val="0"/>
                <w:i w:val="0"/>
                <w:color w:val="1A1A1A"/>
                <w:sz w:val="18"/>
              </w:rPr>
              <w:t>---</w:t>
            </w:r>
          </w:p>
        </w:tc>
        <w:tc>
          <w:tcPr>
            <w:tcW w:type="dxa" w:w="1560"/>
            <w:shd w:val="clear" w:color="auto" w:fill="F5F5F5"/>
          </w:tcPr>
          <w:p>
            <w:r>
              <w:rPr>
                <w:rFonts w:ascii="Garamond" w:hAnsi="Garamond"/>
                <w:b w:val="0"/>
                <w:i w:val="0"/>
                <w:color w:val="1A1A1A"/>
                <w:sz w:val="18"/>
              </w:rPr>
              <w:t>24.1%</w:t>
            </w:r>
          </w:p>
        </w:tc>
      </w:tr>
      <w:tr>
        <w:tc>
          <w:tcPr>
            <w:tcW w:type="dxa" w:w="1560"/>
            <w:shd w:val="clear" w:color="auto" w:fill="FFFFFF"/>
          </w:tcPr>
          <w:p>
            <w:r>
              <w:rPr>
                <w:rFonts w:ascii="Garamond" w:hAnsi="Garamond"/>
                <w:b w:val="0"/>
                <w:i w:val="0"/>
                <w:color w:val="1A1A1A"/>
                <w:sz w:val="18"/>
              </w:rPr>
              <w:t>Payback Period</w:t>
            </w:r>
          </w:p>
        </w:tc>
        <w:tc>
          <w:tcPr>
            <w:tcW w:type="dxa" w:w="1560"/>
            <w:shd w:val="clear" w:color="auto" w:fill="FFFFFF"/>
          </w:tcPr>
          <w:p>
            <w:r>
              <w:rPr>
                <w:rFonts w:ascii="Garamond" w:hAnsi="Garamond"/>
                <w:b w:val="0"/>
                <w:i w:val="0"/>
                <w:color w:val="1A1A1A"/>
                <w:sz w:val="18"/>
              </w:rPr>
              <w:t>---</w:t>
            </w:r>
          </w:p>
        </w:tc>
        <w:tc>
          <w:tcPr>
            <w:tcW w:type="dxa" w:w="1560"/>
            <w:shd w:val="clear" w:color="auto" w:fill="FFFFFF"/>
          </w:tcPr>
          <w:p>
            <w:r>
              <w:rPr>
                <w:rFonts w:ascii="Garamond" w:hAnsi="Garamond"/>
                <w:b w:val="0"/>
                <w:i w:val="0"/>
                <w:color w:val="1A1A1A"/>
                <w:sz w:val="18"/>
              </w:rPr>
              <w:t>---</w:t>
            </w:r>
          </w:p>
        </w:tc>
        <w:tc>
          <w:tcPr>
            <w:tcW w:type="dxa" w:w="1560"/>
            <w:shd w:val="clear" w:color="auto" w:fill="FFFFFF"/>
          </w:tcPr>
          <w:p>
            <w:r>
              <w:rPr>
                <w:rFonts w:ascii="Garamond" w:hAnsi="Garamond"/>
                <w:b w:val="0"/>
                <w:i w:val="0"/>
                <w:color w:val="1A1A1A"/>
                <w:sz w:val="18"/>
              </w:rPr>
              <w:t>3.7 yrs</w:t>
            </w:r>
          </w:p>
        </w:tc>
        <w:tc>
          <w:tcPr>
            <w:tcW w:type="dxa" w:w="1560"/>
            <w:shd w:val="clear" w:color="auto" w:fill="FFFFFF"/>
          </w:tcPr>
          <w:p>
            <w:r>
              <w:rPr>
                <w:rFonts w:ascii="Garamond" w:hAnsi="Garamond"/>
                <w:b w:val="0"/>
                <w:i w:val="0"/>
                <w:color w:val="1A1A1A"/>
                <w:sz w:val="18"/>
              </w:rPr>
              <w:t>---</w:t>
            </w:r>
          </w:p>
        </w:tc>
        <w:tc>
          <w:tcPr>
            <w:tcW w:type="dxa" w:w="1560"/>
            <w:shd w:val="clear" w:color="auto" w:fill="FFFFFF"/>
          </w:tcPr>
          <w:p>
            <w:r>
              <w:rPr>
                <w:rFonts w:ascii="Garamond" w:hAnsi="Garamond"/>
                <w:b w:val="0"/>
                <w:i w:val="0"/>
                <w:color w:val="1A1A1A"/>
                <w:sz w:val="18"/>
              </w:rPr>
              <w:t>---</w:t>
            </w:r>
          </w:p>
        </w:tc>
      </w:tr>
    </w:tbl>
    <w:p>
      <w:pPr>
        <w:spacing w:before="0" w:after="120"/>
      </w:pPr>
    </w:p>
    <w:p>
      <w:pPr>
        <w:spacing w:before="160" w:after="80"/>
      </w:pPr>
      <w:r>
        <w:rPr>
          <w:rFonts w:ascii="Garamond" w:hAnsi="Garamond"/>
          <w:b/>
          <w:i w:val="0"/>
          <w:color w:val="1A1A2E"/>
          <w:sz w:val="24"/>
        </w:rPr>
        <w:t>Strategic Rationale</w:t>
      </w:r>
    </w:p>
    <w:p>
      <w:pPr>
        <w:spacing w:before="40" w:after="40"/>
        <w:pBdr>
          <w:bottom w:val="single" w:sz="8" w:space="1" w:color="6B6B6B"/>
        </w:pBdr>
      </w:pPr>
    </w:p>
    <w:p>
      <w:pPr>
        <w:pStyle w:val="ListBullet"/>
        <w:spacing w:before="20" w:after="40"/>
        <w:ind w:left="360"/>
      </w:pPr>
      <w:r>
        <w:rPr>
          <w:rFonts w:ascii="Garamond" w:hAnsi="Garamond"/>
          <w:b w:val="0"/>
          <w:i w:val="0"/>
          <w:color w:val="1A1A1A"/>
          <w:sz w:val="20"/>
        </w:rPr>
        <w:t>Competitive positioning: Wynn slot floor age lags MGM Grand and Bellagio by ~2.1 years on average; new units restore competitive parity</w:t>
      </w:r>
    </w:p>
    <w:p>
      <w:pPr>
        <w:pStyle w:val="ListBullet"/>
        <w:spacing w:before="20" w:after="40"/>
        <w:ind w:left="360"/>
      </w:pPr>
      <w:r>
        <w:rPr>
          <w:rFonts w:ascii="Garamond" w:hAnsi="Garamond"/>
          <w:b w:val="0"/>
          <w:i w:val="0"/>
          <w:color w:val="1A1A1A"/>
          <w:sz w:val="20"/>
        </w:rPr>
        <w:t>Guest experience: Player tracking shows 23% higher average daily theoretical on machines under 3 years old vs over 7 years old</w:t>
      </w:r>
    </w:p>
    <w:p>
      <w:pPr>
        <w:pStyle w:val="ListBullet"/>
        <w:spacing w:before="20" w:after="40"/>
        <w:ind w:left="360"/>
      </w:pPr>
      <w:r>
        <w:rPr>
          <w:rFonts w:ascii="Garamond" w:hAnsi="Garamond"/>
          <w:b w:val="0"/>
          <w:i w:val="0"/>
          <w:color w:val="1A1A1A"/>
          <w:sz w:val="20"/>
        </w:rPr>
        <w:t>Regulatory compliance: 47 machines exceed Nevada Gaming Control Board recommended maximum age guidelines effective January 2026</w:t>
      </w:r>
    </w:p>
    <w:p>
      <w:pPr>
        <w:spacing w:before="160" w:after="80"/>
      </w:pPr>
      <w:r>
        <w:rPr>
          <w:rFonts w:ascii="Garamond" w:hAnsi="Garamond"/>
          <w:b/>
          <w:i w:val="0"/>
          <w:color w:val="1A1A2E"/>
          <w:sz w:val="24"/>
        </w:rPr>
        <w:t>Risk Factors</w:t>
      </w:r>
    </w:p>
    <w:p>
      <w:pPr>
        <w:spacing w:before="40" w:after="40"/>
        <w:pBdr>
          <w:bottom w:val="single" w:sz="8" w:space="1" w:color="6B6B6B"/>
        </w:pBdr>
      </w:pPr>
    </w:p>
    <w:p>
      <w:pPr>
        <w:pStyle w:val="ListBullet"/>
        <w:spacing w:before="20" w:after="40"/>
        <w:ind w:left="360"/>
      </w:pPr>
      <w:r>
        <w:rPr>
          <w:rFonts w:ascii="Garamond" w:hAnsi="Garamond"/>
          <w:b w:val="0"/>
          <w:i w:val="0"/>
          <w:color w:val="1A1A1A"/>
          <w:sz w:val="20"/>
        </w:rPr>
        <w:t>Execution risk: Floor reconfiguration requires 6-week phased closures; revenue disruption estimated at $3.1M included in Year 1</w:t>
      </w:r>
    </w:p>
    <w:p>
      <w:pPr>
        <w:pStyle w:val="ListBullet"/>
        <w:spacing w:before="20" w:after="40"/>
        <w:ind w:left="360"/>
      </w:pPr>
      <w:r>
        <w:rPr>
          <w:rFonts w:ascii="Garamond" w:hAnsi="Garamond"/>
          <w:b w:val="0"/>
          <w:i w:val="0"/>
          <w:color w:val="1A1A1A"/>
          <w:sz w:val="20"/>
        </w:rPr>
        <w:t>Market risk: Baccarat volume softening could delay revenue recovery 6-12 months beyond base case</w:t>
      </w:r>
    </w:p>
    <w:p>
      <w:pPr>
        <w:pStyle w:val="ListBullet"/>
        <w:spacing w:before="20" w:after="40"/>
        <w:ind w:left="360"/>
      </w:pPr>
      <w:r>
        <w:rPr>
          <w:rFonts w:ascii="Garamond" w:hAnsi="Garamond"/>
          <w:b w:val="0"/>
          <w:i w:val="0"/>
          <w:color w:val="1A1A1A"/>
          <w:sz w:val="20"/>
        </w:rPr>
        <w:t>Vendor risk: IGT supply chain constraints noted Q4 2024; contingency supplier Aristocrat identified for up to 40% of units</w:t>
      </w:r>
    </w:p>
    <w:sectPr w:rsidR="00FC693F" w:rsidRPr="0006063C" w:rsidSect="00034616">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b w:val="0"/>
        <w:i/>
        <w:color w:val="6B6B6B"/>
        <w:sz w:val="15"/>
      </w:rPr>
      <w:t>Wynn Resorts, Limited  |  Strictly Confidential  |  01-capex-gaming-floor-modernization.docx  |  Do not distribute without authorization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