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CFO | Corporate Finance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STRICTLY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Capital Allocation Decision Log -- FY2021 to FY2024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Period Covered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FY2021-FY2024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Prepared By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Director of Corporate Finance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Date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January 2025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Total Approved Spend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$312.7M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Investment Decision Log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Project ID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Approved ($M)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Actual ($M)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IRR Projected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IRR Actual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CAPEX-2021-003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Boston Poker Room Expansion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8.2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9.1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19.4%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14.2%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Complete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CAPEX-2021-009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Las Vegas Spa &amp; Wellness Renovation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14.7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15.3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22.1%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24.8%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Complete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CAPEX-2022-001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Las Vegas Convention Center Tech Upgrade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22.4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21.8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21.3%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26.1%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Complete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CAPEX-2022-007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Boston F&amp;B Concept Refresh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11.6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13.2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18.7%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16.4%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Complete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CAPEX-2023-002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Las Vegas Executive Suite Renovation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34.1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33.7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23.8%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25.2%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Complete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CAPEX-2023-011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Enterprise CRM Platform (Salesforce)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18.9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22.4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20.2%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11.8%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Underperformed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CAPEX-2024-004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Las Vegas Pool Complex Refresh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28.3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27.9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24.4%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 progress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 Progress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CAPEX-2024-008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Boston Slot Floor Technology Refresh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16.4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16.1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21.7%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 progress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 Progress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Key Observations</w:t>
      </w:r>
    </w:p>
    <w:p>
      <w:pPr>
        <w:spacing w:before="40" w:after="40"/>
        <w:pBdr>
          <w:bottom w:val="single" w:sz="8" w:space="1" w:color="6B6B6B"/>
        </w:pBdr>
      </w:pP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Physical asset renovations consistently delivered IRR 1-3pp above projection; RevPAR uplift modelling is conservative for these categories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Technology investments underperformed IRR in 2 of 3 tracked cases; Salesforce delivered 11.8% actual vs 20.2% projected due to integration delays and lower adoption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Boston projects lagged Las Vegas counterparts by average 4.1pp IRR, consistent with the more competitive Boston market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Recommendation: Apply 15% discount factor to projected IRR for all future technology CAPEX submissions</w:t>
      </w: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02-capital-allocation-decision-log.docx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