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Corporate Finance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Capital Allocation Policy and Hurdle Rate Framework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Policy 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3.2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Effective 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Next Review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2026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Board Approved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November 2024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Hurdle Rates by Project Type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Project Type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Minimum IRR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WACC Spread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Approval Authority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Maintenance &amp; Compliance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up to $10M; CEO above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Revenue-Generating (Physical Asset)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18.0%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+350bps over WACC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up to $20M; CEO+Board above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Revenue-Generating (Technology)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20.0%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+550bps over WACC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up to $15M; CEO+Board above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Strategic / New Market Entry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15.0%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+200bps over WACC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CEO + Board always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M&amp;A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Board-defined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Case-by-case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always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Approval Thresholds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Amount Tier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Required Approver(s)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$2.5M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Department VP + Finance Director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 business days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$2.5M-$10M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 business days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$10M-$25M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+ CEO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 business days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$25M-$50M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+ CEO + Board Finance Committee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 days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$50M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Full Board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45 days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Prioritization Framework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Strategic alignment: Projects must link to one of three FY2025-2027 strategic pillars (Guest Experience Leadership, Operational Excellence, Digital Transformation)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Return threshold: All discretionary projects must meet or exceed category hurdle rate on unlevered after-tax basis using a 10-year DCF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Portfolio balance: No more than 40% of discretionary CAPEX may be allocated to technology in any single fiscal year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03-capital-allocation-policy-hurdle-rate.docx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