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360"/>
            <w:shd w:val="clear" w:color="auto" w:fill="B89655"/>
          </w:tcPr>
          <w:p>
            <w:r/>
          </w:p>
        </w:tc>
      </w:tr>
    </w:tbl>
    <w:p>
      <w:pPr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54480" cy="6987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698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</w:tcPr>
          <w:p/>
          <w:p>
            <w:pPr>
              <w:spacing w:before="0" w:after="20"/>
              <w:jc w:val="right"/>
            </w:pPr>
            <w:r>
              <w:rPr>
                <w:rFonts w:ascii="Garamond" w:hAnsi="Garamond"/>
                <w:b/>
                <w:i w:val="0"/>
                <w:color w:val="B89655"/>
                <w:sz w:val="18"/>
              </w:rPr>
              <w:t>WYNN RESORTS</w:t>
            </w:r>
          </w:p>
          <w:p>
            <w:pPr>
              <w:spacing w:before="0" w:after="40"/>
              <w:jc w:val="right"/>
            </w:pPr>
            <w:r>
              <w:rPr>
                <w:rFonts w:ascii="Garamond" w:hAnsi="Garamond"/>
                <w:b w:val="0"/>
                <w:i/>
                <w:color w:val="6B6B6B"/>
                <w:sz w:val="16"/>
              </w:rPr>
              <w:t>Office of the CFO | Internal Controls &amp; Compliance</w:t>
            </w:r>
          </w:p>
          <w:p>
            <w:pPr>
              <w:spacing w:before="0" w:after="0"/>
              <w:jc w:val="right"/>
            </w:pPr>
            <w:r>
              <w:rPr>
                <w:rFonts w:ascii="Garamond" w:hAnsi="Garamond"/>
                <w:b/>
                <w:i w:val="0"/>
                <w:color w:val="C0392B"/>
                <w:sz w:val="15"/>
              </w:rPr>
              <w:t>STRICTLY CONFIDENTIAL</w:t>
            </w:r>
          </w:p>
        </w:tc>
      </w:tr>
    </w:tbl>
    <w:p>
      <w:pPr>
        <w:spacing w:before="40" w:after="40"/>
        <w:pBdr>
          <w:bottom w:val="single" w:sz="16" w:space="1" w:color="B89655"/>
        </w:pBdr>
      </w:pPr>
    </w:p>
    <w:p>
      <w:pPr>
        <w:spacing w:before="0" w:after="60"/>
      </w:pPr>
    </w:p>
    <w:p>
      <w:pPr>
        <w:spacing w:before="0" w:after="80"/>
      </w:pPr>
      <w:r>
        <w:rPr>
          <w:rFonts w:ascii="Garamond" w:hAnsi="Garamond"/>
          <w:b/>
          <w:i w:val="0"/>
          <w:color w:val="6B6B6B"/>
          <w:sz w:val="18"/>
        </w:rPr>
        <w:t>INTERNAL AUDIT REPORT</w:t>
        <w:br/>
      </w:r>
      <w:r>
        <w:rPr>
          <w:rFonts w:ascii="Garamond" w:hAnsi="Garamond"/>
          <w:b/>
          <w:i w:val="0"/>
          <w:color w:val="1A1A2E"/>
          <w:sz w:val="36"/>
        </w:rPr>
        <w:t>Internal &amp; External Audit Findings Log -- FY2024</w:t>
      </w:r>
    </w:p>
    <w:p>
      <w:pPr>
        <w:spacing w:before="40" w:after="40"/>
        <w:pBdr>
          <w:bottom w:val="single" w:sz="8" w:space="1" w:color="B89655"/>
        </w:pBdr>
      </w:pPr>
    </w:p>
    <w:p>
      <w:pPr>
        <w:spacing w:before="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Period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 w:val="0"/>
                <w:i w:val="0"/>
                <w:color w:val="FFFFFF"/>
                <w:sz w:val="18"/>
              </w:rPr>
              <w:t>FY2024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Prepared By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Internal Controls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Date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February 2025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External Auditor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Deloitte &amp; Touche LLP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Garamond" w:hAnsi="Garamond"/>
          <w:b/>
          <w:i w:val="0"/>
          <w:color w:val="1A1A2E"/>
          <w:sz w:val="30"/>
        </w:rPr>
        <w:t>Audit Findings Register</w:t>
      </w:r>
    </w:p>
    <w:p>
      <w:pPr>
        <w:spacing w:before="40" w:after="40"/>
        <w:pBdr>
          <w:bottom w:val="single" w:sz="16" w:space="1" w:color="B89655"/>
        </w:pBdr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Finding Ref</w:t>
            </w:r>
          </w:p>
        </w:tc>
        <w:tc>
          <w:tcPr>
            <w:tcW w:type="dxa" w:w="1337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Source</w:t>
            </w:r>
          </w:p>
        </w:tc>
        <w:tc>
          <w:tcPr>
            <w:tcW w:type="dxa" w:w="1337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1337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Risk Rating</w:t>
            </w:r>
          </w:p>
        </w:tc>
        <w:tc>
          <w:tcPr>
            <w:tcW w:type="dxa" w:w="1337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Remediation Owner</w:t>
            </w:r>
          </w:p>
        </w:tc>
        <w:tc>
          <w:tcPr>
            <w:tcW w:type="dxa" w:w="1337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Due Date</w:t>
            </w:r>
          </w:p>
        </w:tc>
        <w:tc>
          <w:tcPr>
            <w:tcW w:type="dxa" w:w="1337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AF-2024-001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External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Revenue recognition timing for complimentary hotel stays not consistently applied under ASC 606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Accounting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Mar 31 2025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In Progress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AF-2024-002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Internal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Casino chip float reconciliation performed weekly vs required daily at Boston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Medium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Dir. Casino Finance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Feb 28 2025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Remediated</w:t>
            </w:r>
          </w:p>
        </w:tc>
      </w:tr>
      <w:tr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AF-2024-003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External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IT general controls: privileged access review not completed for Oracle ERP in Q3 2024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IT Security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Apr 30 2025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In Progress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AF-2024-004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Internal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Vendor invoice approval limits not enforced in Coupa for 14 transactions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Medium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Procurement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Mar 15 2025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Remediated</w:t>
            </w:r>
          </w:p>
        </w:tc>
      </w:tr>
      <w:tr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AF-2024-005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External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AML transaction monitoring thresholds not updated following Nevada Gaming Regulation amendment August 2024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Critical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Chief Compliance Officer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Jan 31 2025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Remediated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AF-2024-006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Internal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Fixed asset physical inventory not completed at Boston for FY2024 cycle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Low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Dir. Facilities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Apr 15 2025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Open</w:t>
            </w:r>
          </w:p>
        </w:tc>
      </w:tr>
      <w:tr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AF-2024-007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External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Lease accounting ASC 842: two operating leases not captured in ROU asset schedule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Medium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Accounting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Mar 31 2025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In Progress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AF-2024-008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Internal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Expense reports: 23 claims over $5,000 approved by peers rather than supervisors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Medium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HR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Feb 28 2025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Remediated</w:t>
            </w:r>
          </w:p>
        </w:tc>
      </w:tr>
      <w:tr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AF-2024-009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External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Deferred revenue for unredeemed Wynn Rewards points not reconciled to loyalty platform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Dir. FP&amp;A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Apr 30 2025</w:t>
            </w:r>
          </w:p>
        </w:tc>
        <w:tc>
          <w:tcPr>
            <w:tcW w:type="dxa" w:w="1337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In Progress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AF-2024-010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Internal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Segregation of duties: single user has both journal entry creation and approval rights in Oracle GL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IT / Controller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Mar 31 2025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In Progress</w:t>
            </w:r>
          </w:p>
        </w:tc>
      </w:tr>
    </w:tbl>
    <w:p>
      <w:pPr>
        <w:spacing w:before="0" w:after="120"/>
      </w:pPr>
    </w:p>
    <w:sectPr w:rsidR="00FC693F" w:rsidRPr="0006063C" w:rsidSect="00034616">
      <w:footerReference w:type="default" r:id="rId10"/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b w:val="0"/>
        <w:i/>
        <w:color w:val="6B6B6B"/>
        <w:sz w:val="15"/>
      </w:rPr>
      <w:t>Wynn Resorts, Limited  |  Strictly Confidential  |  01-audit-findings-log-fy2024.docx  |  Do not distribute without authorization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