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800"/>
      </w:tblGrid>
      <w:tr>
        <w:tc>
          <w:tcPr>
            <w:tcW w:type="dxa" w:w="9360"/>
            <w:shd w:val="clear" w:color="auto" w:fill="B89655"/>
          </w:tcPr>
          <w:p>
            <w:r/>
          </w:p>
        </w:tc>
      </w:tr>
    </w:tbl>
    <w:p>
      <w:pPr>
        <w:spacing w:before="0" w:after="60"/>
      </w:pPr>
    </w:p>
    <w:tbl>
      <w:tblPr>
        <w:tblW w:type="auto" w:w="0"/>
        <w:tblLayout w:type="fixed"/>
        <w:tblLook w:firstColumn="1" w:firstRow="1" w:lastColumn="0" w:lastRow="0" w:noHBand="0" w:noVBand="1" w:val="04A0"/>
      </w:tblPr>
      <w:tblGrid>
        <w:gridCol w:w="2880"/>
        <w:gridCol w:w="7920"/>
      </w:tblGrid>
      <w:tr>
        <w:tc>
          <w:tcPr>
            <w:tcW w:type="dxa" w:w="4680"/>
            <w:vAlign w:val="center"/>
          </w:tcPr>
          <w:p>
            <w:pPr>
              <w:jc w:val="left"/>
            </w:pPr>
            <w:r>
              <w:drawing>
                <wp:inline xmlns:a="http://schemas.openxmlformats.org/drawingml/2006/main" xmlns:pic="http://schemas.openxmlformats.org/drawingml/2006/picture">
                  <wp:extent cx="1554480" cy="69877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54480" cy="698776"/>
                          </a:xfrm>
                          <a:prstGeom prst="rect"/>
                        </pic:spPr>
                      </pic:pic>
                    </a:graphicData>
                  </a:graphic>
                </wp:inline>
              </w:drawing>
            </w:r>
          </w:p>
        </w:tc>
        <w:tc>
          <w:tcPr>
            <w:tcW w:type="dxa" w:w="4680"/>
            <w:vAlign w:val="center"/>
          </w:tcPr>
          <w:p/>
          <w:p>
            <w:pPr>
              <w:spacing w:before="0" w:after="20"/>
              <w:jc w:val="right"/>
            </w:pPr>
            <w:r>
              <w:rPr>
                <w:rFonts w:ascii="Garamond" w:hAnsi="Garamond"/>
                <w:b/>
                <w:i w:val="0"/>
                <w:color w:val="B89655"/>
                <w:sz w:val="18"/>
              </w:rPr>
              <w:t>WYNN RESORTS</w:t>
            </w:r>
          </w:p>
          <w:p>
            <w:pPr>
              <w:spacing w:before="0" w:after="40"/>
              <w:jc w:val="right"/>
            </w:pPr>
            <w:r>
              <w:rPr>
                <w:rFonts w:ascii="Garamond" w:hAnsi="Garamond"/>
                <w:b w:val="0"/>
                <w:i/>
                <w:color w:val="6B6B6B"/>
                <w:sz w:val="16"/>
              </w:rPr>
              <w:t>Office of the CFO | Accounting &amp; Controls</w:t>
            </w:r>
          </w:p>
          <w:p>
            <w:pPr>
              <w:spacing w:before="0" w:after="0"/>
              <w:jc w:val="right"/>
            </w:pPr>
            <w:r>
              <w:rPr>
                <w:rFonts w:ascii="Garamond" w:hAnsi="Garamond"/>
                <w:b/>
                <w:i w:val="0"/>
                <w:color w:val="C0392B"/>
                <w:sz w:val="15"/>
              </w:rPr>
              <w:t>INTERNAL USE ONLY</w:t>
            </w:r>
          </w:p>
        </w:tc>
      </w:tr>
    </w:tbl>
    <w:p>
      <w:pPr>
        <w:spacing w:before="40" w:after="40"/>
        <w:pBdr>
          <w:bottom w:val="single" w:sz="16" w:space="1" w:color="B89655"/>
        </w:pBdr>
      </w:pPr>
    </w:p>
    <w:p>
      <w:pPr>
        <w:spacing w:before="0" w:after="60"/>
      </w:pPr>
    </w:p>
    <w:p>
      <w:pPr>
        <w:spacing w:before="0" w:after="80"/>
      </w:pPr>
      <w:r>
        <w:rPr>
          <w:rFonts w:ascii="Garamond" w:hAnsi="Garamond"/>
          <w:b/>
          <w:i w:val="0"/>
          <w:color w:val="6B6B6B"/>
          <w:sz w:val="18"/>
        </w:rPr>
        <w:t>INTERNAL AUDIT REPORT</w:t>
        <w:br/>
      </w:r>
      <w:r>
        <w:rPr>
          <w:rFonts w:ascii="Garamond" w:hAnsi="Garamond"/>
          <w:b/>
          <w:i w:val="0"/>
          <w:color w:val="1A1A2E"/>
          <w:sz w:val="36"/>
        </w:rPr>
        <w:t>Accounting Policy Manual -- Selected Policies (Excerpt)</w:t>
      </w:r>
    </w:p>
    <w:p>
      <w:pPr>
        <w:spacing w:before="40" w:after="40"/>
        <w:pBdr>
          <w:bottom w:val="single" w:sz="8" w:space="1" w:color="B89655"/>
        </w:pBdr>
      </w:pPr>
    </w:p>
    <w:p>
      <w:pPr>
        <w:spacing w:before="0" w:after="120"/>
      </w:pPr>
    </w:p>
    <w:tbl>
      <w:tblPr>
        <w:tblStyle w:val="TableGrid"/>
        <w:tblW w:type="auto" w:w="0"/>
        <w:tblLayout w:type="fixed"/>
        <w:tblLook w:firstColumn="1" w:firstRow="1" w:lastColumn="0" w:lastRow="0" w:noHBand="0" w:noVBand="1" w:val="04A0"/>
      </w:tblPr>
      <w:tblGrid>
        <w:gridCol w:w="2880"/>
        <w:gridCol w:w="7920"/>
      </w:tblGrid>
      <w:tr>
        <w:tc>
          <w:tcPr>
            <w:tcW w:type="dxa" w:w="4680"/>
            <w:shd w:val="clear" w:color="auto" w:fill="1A1A2E"/>
          </w:tcPr>
          <w:p>
            <w:r>
              <w:rPr>
                <w:rFonts w:ascii="Garamond" w:hAnsi="Garamond"/>
                <w:b/>
                <w:i w:val="0"/>
                <w:color w:val="FFFFFF"/>
                <w:sz w:val="18"/>
              </w:rPr>
              <w:t>Manual Version</w:t>
            </w:r>
          </w:p>
        </w:tc>
        <w:tc>
          <w:tcPr>
            <w:tcW w:type="dxa" w:w="4680"/>
            <w:shd w:val="clear" w:color="auto" w:fill="1A1A2E"/>
          </w:tcPr>
          <w:p>
            <w:r>
              <w:rPr>
                <w:rFonts w:ascii="Garamond" w:hAnsi="Garamond"/>
                <w:b w:val="0"/>
                <w:i w:val="0"/>
                <w:color w:val="FFFFFF"/>
                <w:sz w:val="18"/>
              </w:rPr>
              <w:t>5.1</w:t>
            </w:r>
          </w:p>
        </w:tc>
      </w:tr>
      <w:tr>
        <w:tc>
          <w:tcPr>
            <w:tcW w:type="dxa" w:w="4680"/>
            <w:shd w:val="clear" w:color="auto" w:fill="FFFFFF"/>
          </w:tcPr>
          <w:p>
            <w:r>
              <w:rPr>
                <w:rFonts w:ascii="Garamond" w:hAnsi="Garamond"/>
                <w:b/>
                <w:i w:val="0"/>
                <w:color w:val="1A1A2E"/>
                <w:sz w:val="18"/>
              </w:rPr>
              <w:t>Effective Date</w:t>
            </w:r>
          </w:p>
        </w:tc>
        <w:tc>
          <w:tcPr>
            <w:tcW w:type="dxa" w:w="4680"/>
            <w:shd w:val="clear" w:color="auto" w:fill="FFFFFF"/>
          </w:tcPr>
          <w:p>
            <w:r>
              <w:rPr>
                <w:rFonts w:ascii="Garamond" w:hAnsi="Garamond"/>
                <w:b w:val="0"/>
                <w:i w:val="0"/>
                <w:color w:val="1A1A1A"/>
                <w:sz w:val="18"/>
              </w:rPr>
              <w:t>January 2025</w:t>
            </w:r>
          </w:p>
        </w:tc>
      </w:tr>
      <w:tr>
        <w:tc>
          <w:tcPr>
            <w:tcW w:type="dxa" w:w="4680"/>
            <w:shd w:val="clear" w:color="auto" w:fill="F5F5F5"/>
          </w:tcPr>
          <w:p>
            <w:r>
              <w:rPr>
                <w:rFonts w:ascii="Garamond" w:hAnsi="Garamond"/>
                <w:b/>
                <w:i w:val="0"/>
                <w:color w:val="1A1A2E"/>
                <w:sz w:val="18"/>
              </w:rPr>
              <w:t>Standard</w:t>
            </w:r>
          </w:p>
        </w:tc>
        <w:tc>
          <w:tcPr>
            <w:tcW w:type="dxa" w:w="4680"/>
            <w:shd w:val="clear" w:color="auto" w:fill="F5F5F5"/>
          </w:tcPr>
          <w:p>
            <w:r>
              <w:rPr>
                <w:rFonts w:ascii="Garamond" w:hAnsi="Garamond"/>
                <w:b w:val="0"/>
                <w:i w:val="0"/>
                <w:color w:val="1A1A1A"/>
                <w:sz w:val="18"/>
              </w:rPr>
              <w:t>US GAAP / ASC 606 / ASC 842</w:t>
            </w:r>
          </w:p>
        </w:tc>
      </w:tr>
      <w:tr>
        <w:tc>
          <w:tcPr>
            <w:tcW w:type="dxa" w:w="4680"/>
            <w:shd w:val="clear" w:color="auto" w:fill="FFFFFF"/>
          </w:tcPr>
          <w:p>
            <w:r>
              <w:rPr>
                <w:rFonts w:ascii="Garamond" w:hAnsi="Garamond"/>
                <w:b/>
                <w:i w:val="0"/>
                <w:color w:val="1A1A2E"/>
                <w:sz w:val="18"/>
              </w:rPr>
              <w:t>Owner</w:t>
            </w:r>
          </w:p>
        </w:tc>
        <w:tc>
          <w:tcPr>
            <w:tcW w:type="dxa" w:w="4680"/>
            <w:shd w:val="clear" w:color="auto" w:fill="FFFFFF"/>
          </w:tcPr>
          <w:p>
            <w:r>
              <w:rPr>
                <w:rFonts w:ascii="Garamond" w:hAnsi="Garamond"/>
                <w:b w:val="0"/>
                <w:i w:val="0"/>
                <w:color w:val="1A1A1A"/>
                <w:sz w:val="18"/>
              </w:rPr>
              <w:t>Corporate Controller</w:t>
            </w:r>
          </w:p>
        </w:tc>
      </w:tr>
      <w:tr>
        <w:tc>
          <w:tcPr>
            <w:tcW w:type="dxa" w:w="4680"/>
            <w:shd w:val="clear" w:color="auto" w:fill="F5F5F5"/>
          </w:tcPr>
          <w:p>
            <w:r>
              <w:rPr>
                <w:rFonts w:ascii="Garamond" w:hAnsi="Garamond"/>
                <w:b/>
                <w:i w:val="0"/>
                <w:color w:val="1A1A2E"/>
                <w:sz w:val="18"/>
              </w:rPr>
              <w:t>Next Review</w:t>
            </w:r>
          </w:p>
        </w:tc>
        <w:tc>
          <w:tcPr>
            <w:tcW w:type="dxa" w:w="4680"/>
            <w:shd w:val="clear" w:color="auto" w:fill="F5F5F5"/>
          </w:tcPr>
          <w:p>
            <w:r>
              <w:rPr>
                <w:rFonts w:ascii="Garamond" w:hAnsi="Garamond"/>
                <w:b w:val="0"/>
                <w:i w:val="0"/>
                <w:color w:val="1A1A1A"/>
                <w:sz w:val="18"/>
              </w:rPr>
              <w:t>January 2026</w:t>
            </w:r>
          </w:p>
        </w:tc>
      </w:tr>
    </w:tbl>
    <w:p>
      <w:pPr>
        <w:spacing w:before="0" w:after="160"/>
      </w:pPr>
    </w:p>
    <w:p>
      <w:pPr>
        <w:spacing w:before="280" w:after="80"/>
      </w:pPr>
      <w:r>
        <w:rPr>
          <w:rFonts w:ascii="Garamond" w:hAnsi="Garamond"/>
          <w:b/>
          <w:i w:val="0"/>
          <w:color w:val="1A1A2E"/>
          <w:sz w:val="30"/>
        </w:rPr>
        <w:t>Policy ACC-001: Revenue Recognition (ASC 606)</w:t>
      </w:r>
    </w:p>
    <w:p>
      <w:pPr>
        <w:spacing w:before="40" w:after="40"/>
        <w:pBdr>
          <w:bottom w:val="single" w:sz="16" w:space="1" w:color="B89655"/>
        </w:pBdr>
      </w:pPr>
    </w:p>
    <w:p>
      <w:pPr>
        <w:spacing w:before="20" w:after="80"/>
      </w:pPr>
      <w:r>
        <w:rPr>
          <w:rFonts w:ascii="Garamond" w:hAnsi="Garamond"/>
          <w:b w:val="0"/>
          <w:i w:val="0"/>
          <w:color w:val="1A1A1A"/>
          <w:sz w:val="20"/>
        </w:rPr>
        <w:t>Wynn Resorts recognizes revenue in accordance with ASC 606. Casino gaming revenue is recognized when the gaming transaction is complete, net of progressive jackpot accruals and loyalty point redemptions. Hotel revenue is recognized over the period of guest stay. F&amp;B revenue is recognized at point of service. Complimentary services provided to gaming guests are recognized as revenue at fair value with an offsetting promotional allowance, net-presented in accordance with ASC 606 guidance for non-cash consideration.</w:t>
      </w:r>
    </w:p>
    <w:p>
      <w:pPr>
        <w:spacing w:before="160" w:after="80"/>
      </w:pPr>
      <w:r>
        <w:rPr>
          <w:rFonts w:ascii="Garamond" w:hAnsi="Garamond"/>
          <w:b/>
          <w:i w:val="0"/>
          <w:color w:val="1A1A2E"/>
          <w:sz w:val="24"/>
        </w:rPr>
        <w:t>Policy ACC-002: Gaming Chip Float Accounting</w:t>
      </w:r>
    </w:p>
    <w:p>
      <w:pPr>
        <w:spacing w:before="40" w:after="40"/>
        <w:pBdr>
          <w:bottom w:val="single" w:sz="8" w:space="1" w:color="6B6B6B"/>
        </w:pBdr>
      </w:pPr>
    </w:p>
    <w:p>
      <w:pPr>
        <w:spacing w:before="20" w:after="80"/>
      </w:pPr>
      <w:r>
        <w:rPr>
          <w:rFonts w:ascii="Garamond" w:hAnsi="Garamond"/>
          <w:b w:val="0"/>
          <w:i w:val="0"/>
          <w:color w:val="1A1A1A"/>
          <w:sz w:val="20"/>
        </w:rPr>
        <w:t>Outstanding gaming chips represent a liability until redeemed or expired. Chip float is reconciled daily at property level against chip inventory counts performed by the cage. Chip liability is classified as a current liability. Chips outstanding greater than 180 days are reviewed for write-off eligibility under Nevada Gaming Regulation 6.110. A reserve equal to 2% of outstanding float is maintained as a contingency.</w:t>
      </w:r>
    </w:p>
    <w:p>
      <w:pPr>
        <w:spacing w:before="160" w:after="80"/>
      </w:pPr>
      <w:r>
        <w:rPr>
          <w:rFonts w:ascii="Garamond" w:hAnsi="Garamond"/>
          <w:b/>
          <w:i w:val="0"/>
          <w:color w:val="1A1A2E"/>
          <w:sz w:val="24"/>
        </w:rPr>
        <w:t>Policy ACC-003: Casino Credit and Markers</w:t>
      </w:r>
    </w:p>
    <w:p>
      <w:pPr>
        <w:spacing w:before="40" w:after="40"/>
        <w:pBdr>
          <w:bottom w:val="single" w:sz="8" w:space="1" w:color="6B6B6B"/>
        </w:pBdr>
      </w:pPr>
    </w:p>
    <w:p>
      <w:pPr>
        <w:spacing w:before="20" w:after="80"/>
      </w:pPr>
      <w:r>
        <w:rPr>
          <w:rFonts w:ascii="Garamond" w:hAnsi="Garamond"/>
          <w:b w:val="0"/>
          <w:i w:val="0"/>
          <w:color w:val="1A1A1A"/>
          <w:sz w:val="20"/>
        </w:rPr>
        <w:t>Casino credit (markers) is recorded as accounts receivable at issuance and recognized as casino revenue upon redemption. An allowance for doubtful accounts is established based on aging analysis, historical collection rates by player tier, and specific identification of high-value impaired receivables. CFO approval required for write-offs exceeding $500,000 per individual account.</w:t>
      </w:r>
    </w:p>
    <w:p>
      <w:pPr>
        <w:spacing w:before="160" w:after="80"/>
      </w:pPr>
      <w:r>
        <w:rPr>
          <w:rFonts w:ascii="Garamond" w:hAnsi="Garamond"/>
          <w:b/>
          <w:i w:val="0"/>
          <w:color w:val="1A1A2E"/>
          <w:sz w:val="24"/>
        </w:rPr>
        <w:t>Policy ACC-004: Lease Accounting (ASC 842)</w:t>
      </w:r>
    </w:p>
    <w:p>
      <w:pPr>
        <w:spacing w:before="40" w:after="40"/>
        <w:pBdr>
          <w:bottom w:val="single" w:sz="8" w:space="1" w:color="6B6B6B"/>
        </w:pBdr>
      </w:pPr>
    </w:p>
    <w:p>
      <w:pPr>
        <w:spacing w:before="20" w:after="80"/>
      </w:pPr>
      <w:r>
        <w:rPr>
          <w:rFonts w:ascii="Garamond" w:hAnsi="Garamond"/>
          <w:b w:val="0"/>
          <w:i w:val="0"/>
          <w:color w:val="1A1A1A"/>
          <w:sz w:val="20"/>
        </w:rPr>
        <w:t>Wynn Resorts applies ASC 842 to all lease arrangements with terms exceeding 12 months. Right-of-use assets and lease liabilities are recognized at the present value of future minimum lease payments using the Company's incremental borrowing rate as of the commencement date. All new leases require legal review and Controller classification determination prior to execution. The lease register is maintained in Oracle Lease Management and reconciled to the general ledger monthly.</w:t>
      </w:r>
    </w:p>
    <w:sectPr w:rsidR="00FC693F" w:rsidRPr="0006063C" w:rsidSect="00034616">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b w:val="0"/>
        <w:i/>
        <w:color w:val="6B6B6B"/>
        <w:sz w:val="15"/>
      </w:rPr>
      <w:t>Wynn Resorts, Limited  |  Strictly Confidential  |  03-accounting-policy-manual-excerpt.docx  |  Do not distribute without authorization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