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CFO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Board Finance Committee -- Q4 2024 CFO Report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Meeting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February 12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Prepared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CFO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Distribution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Board Members, CEO, General Counsel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Financial Highlights -- Q4 and Full Year 2024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Wynn Resorts delivered record full-year net revenue of $2.31B in FY2024, exceeding budget by $100M (+4.5%) and prior year by $170M (+7.9%). EBITDA of $740.8M represented a margin of 32.1%, the highest in Company history. Net income of $238.6M increased 23.8% YoY. Q4 net revenue of $562.0M was 4.8% above Q4 2023. The Company ended FY2024 with $1.87B in cash and $4.21B in total debt.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Revenue Performance vs Budget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 Budget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FY2024 Actual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Variance</w:t>
            </w:r>
          </w:p>
        </w:tc>
        <w:tc>
          <w:tcPr>
            <w:tcW w:type="dxa" w:w="1872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Prior Year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Net Revenue ($M)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2,210.0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2,310.0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+100.0 (+4.5%)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2,140.0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Casino Revenue ($M)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1,024.0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1,087.6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+63.6 (+6.2%)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1,014.3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Hotel Revenue ($M)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504.1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523.4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+19.3 (+3.8%)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481.2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($M)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602.6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740.8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+138.2 (+22.9%)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663.4</w:t>
            </w:r>
          </w:p>
        </w:tc>
      </w:tr>
      <w:tr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EBITDA Margin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27.3%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32.1%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+4.8pp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31.0%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Income ($M)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186.3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238.6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+52.3 (+28.1%)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192.7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Balance Sheet Snapshot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Dec 31 2024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Dec 31 2023</w:t>
            </w:r>
          </w:p>
        </w:tc>
        <w:tc>
          <w:tcPr>
            <w:tcW w:type="dxa" w:w="234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Cash &amp; Equivalents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1,874.2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1,612.8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+261.4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Assets ($M)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8,342.1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8,107.6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+234.5</w:t>
            </w:r>
          </w:p>
        </w:tc>
      </w:tr>
      <w:tr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Total Debt ($M)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4,214.7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4,318.2</w:t>
            </w:r>
          </w:p>
        </w:tc>
        <w:tc>
          <w:tcPr>
            <w:tcW w:type="dxa" w:w="234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(103.5)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 Debt / EBITDA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3.2x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4.1x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-0.9x</w:t>
            </w:r>
          </w:p>
        </w:tc>
      </w:tr>
    </w:tbl>
    <w:p>
      <w:pPr>
        <w:spacing w:before="0" w:after="120"/>
      </w:pP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Key Risks &amp; Mitigants</w:t>
      </w:r>
    </w:p>
    <w:p>
      <w:pPr>
        <w:spacing w:before="40" w:after="40"/>
        <w:pBdr>
          <w:bottom w:val="single" w:sz="8" w:space="1" w:color="6B6B6B"/>
        </w:pBdr>
      </w:pP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Baccarat hold normalization: FY2025 base case assumes reversion to 14.5-15.0% hold, implying ~$45M headwind vs FY2024 actuals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Interest rate exposure: $1.2B floating rate debt; each 25bps increase in SOFR adds ~$3M to annual interest expense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Macroeconomic sensitivity: Las Vegas visitation correlated 0.62 with US consumer confidence index</w:t>
      </w:r>
    </w:p>
    <w:p>
      <w:pPr>
        <w:pStyle w:val="ListBullet"/>
        <w:spacing w:before="20" w:after="40"/>
        <w:ind w:left="360"/>
      </w:pPr>
      <w:r>
        <w:rPr>
          <w:rFonts w:ascii="Garamond" w:hAnsi="Garamond"/>
          <w:b w:val="0"/>
          <w:i w:val="0"/>
          <w:color w:val="1A1A1A"/>
          <w:sz w:val="20"/>
        </w:rPr>
        <w:t>Nevada Gaming Commission triennial license review scheduled Q3 2025; no anticipated issues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Outlook for FY2025</w:t>
      </w:r>
    </w:p>
    <w:p>
      <w:pPr>
        <w:spacing w:before="40" w:after="40"/>
        <w:pBdr>
          <w:bottom w:val="single" w:sz="8" w:space="1" w:color="6B6B6B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Base case guidance for FY2025 is net revenue of $2.37B-$2.43B (+2.6% to +5.2%). EBITDA guidance $740M-$775M with margin 31.2%-31.9%, reflecting baccarat hold normalization offset by continued operational leverage. Capital expenditures planned at $285M. Free cash flow generation expected to support further deleveraging toward 3.0x net debt/EBITDA by year-end 2025.</w:t>
      </w: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01-board-finance-committee-q4-2024.docx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