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360"/>
            <w:shd w:val="clear" w:color="auto" w:fill="B89655"/>
          </w:tcPr>
          <w:p>
            <w:r/>
          </w:p>
        </w:tc>
      </w:tr>
    </w:tbl>
    <w:p>
      <w:pPr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54480" cy="6987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698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</w:tcPr>
          <w:p/>
          <w:p>
            <w:pPr>
              <w:spacing w:before="0" w:after="20"/>
              <w:jc w:val="right"/>
            </w:pPr>
            <w:r>
              <w:rPr>
                <w:rFonts w:ascii="Garamond" w:hAnsi="Garamond"/>
                <w:b/>
                <w:i w:val="0"/>
                <w:color w:val="B89655"/>
                <w:sz w:val="18"/>
              </w:rPr>
              <w:t>WYNN RESORTS</w:t>
            </w:r>
          </w:p>
          <w:p>
            <w:pPr>
              <w:spacing w:before="0" w:after="40"/>
              <w:jc w:val="right"/>
            </w:pPr>
            <w:r>
              <w:rPr>
                <w:rFonts w:ascii="Garamond" w:hAnsi="Garamond"/>
                <w:b w:val="0"/>
                <w:i/>
                <w:color w:val="6B6B6B"/>
                <w:sz w:val="16"/>
              </w:rPr>
              <w:t>Office of the CFO</w:t>
            </w:r>
          </w:p>
          <w:p>
            <w:pPr>
              <w:spacing w:before="0" w:after="0"/>
              <w:jc w:val="right"/>
            </w:pPr>
            <w:r>
              <w:rPr>
                <w:rFonts w:ascii="Garamond" w:hAnsi="Garamond"/>
                <w:b/>
                <w:i w:val="0"/>
                <w:color w:val="C0392B"/>
                <w:sz w:val="15"/>
              </w:rPr>
              <w:t>INTERNAL USE ONLY</w:t>
            </w:r>
          </w:p>
        </w:tc>
      </w:tr>
    </w:tbl>
    <w:p>
      <w:pPr>
        <w:spacing w:before="40" w:after="40"/>
        <w:pBdr>
          <w:bottom w:val="single" w:sz="16" w:space="1" w:color="B89655"/>
        </w:pBdr>
      </w:pPr>
    </w:p>
    <w:p>
      <w:pPr>
        <w:spacing w:before="0" w:after="60"/>
      </w:pPr>
    </w:p>
    <w:p>
      <w:pPr>
        <w:spacing w:before="0" w:after="80"/>
      </w:pPr>
      <w:r>
        <w:rPr>
          <w:rFonts w:ascii="Garamond" w:hAnsi="Garamond"/>
          <w:b/>
          <w:i w:val="0"/>
          <w:color w:val="6B6B6B"/>
          <w:sz w:val="18"/>
        </w:rPr>
        <w:t>INTERNAL AUDIT REPORT</w:t>
        <w:br/>
      </w:r>
      <w:r>
        <w:rPr>
          <w:rFonts w:ascii="Garamond" w:hAnsi="Garamond"/>
          <w:b/>
          <w:i w:val="0"/>
          <w:color w:val="1A1A2E"/>
          <w:sz w:val="36"/>
        </w:rPr>
        <w:t>CFO Communication Standards and Style Guide</w:t>
      </w:r>
    </w:p>
    <w:p>
      <w:pPr>
        <w:spacing w:before="40" w:after="40"/>
        <w:pBdr>
          <w:bottom w:val="single" w:sz="8" w:space="1" w:color="B89655"/>
        </w:pBdr>
      </w:pPr>
    </w:p>
    <w:p>
      <w:pPr>
        <w:spacing w:before="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Version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 w:val="0"/>
                <w:i w:val="0"/>
                <w:color w:val="FFFFFF"/>
                <w:sz w:val="18"/>
              </w:rPr>
              <w:t>1.4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Owner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CFO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Effective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September 2024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Garamond" w:hAnsi="Garamond"/>
          <w:b/>
          <w:i w:val="0"/>
          <w:color w:val="1A1A2E"/>
          <w:sz w:val="30"/>
        </w:rPr>
        <w:t>Approved Terminology</w:t>
      </w:r>
    </w:p>
    <w:p>
      <w:pPr>
        <w:spacing w:before="40" w:after="40"/>
        <w:pBdr>
          <w:bottom w:val="single" w:sz="16" w:space="1" w:color="B89655"/>
        </w:pBdr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Use This</w:t>
            </w:r>
          </w:p>
        </w:tc>
        <w:tc>
          <w:tcPr>
            <w:tcW w:type="dxa" w:w="312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Instead Of</w:t>
            </w:r>
          </w:p>
        </w:tc>
        <w:tc>
          <w:tcPr>
            <w:tcW w:type="dxa" w:w="312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12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Net revenue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Revenue (unqualified)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Wynn reports net of promotional allowances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Adjusted EBITDA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EBITDA (unqualified)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Excludes pre-opening costs and stock compensation</w:t>
            </w:r>
          </w:p>
        </w:tc>
      </w:tr>
      <w:tr>
        <w:tc>
          <w:tcPr>
            <w:tcW w:type="dxa" w:w="312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Hold rate normalization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Hold rate headwind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Neutral framing for analyst audiences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Capital returns program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Dividends or buybacks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Preserve optionality in language</w:t>
            </w:r>
          </w:p>
        </w:tc>
      </w:tr>
      <w:tr>
        <w:tc>
          <w:tcPr>
            <w:tcW w:type="dxa" w:w="312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Regulatory examination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Audit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Examinations are regulatory; audits are financial</w:t>
            </w:r>
          </w:p>
        </w:tc>
      </w:tr>
    </w:tbl>
    <w:p>
      <w:pPr>
        <w:spacing w:before="0" w:after="120"/>
      </w:pPr>
    </w:p>
    <w:p>
      <w:pPr>
        <w:spacing w:before="160" w:after="80"/>
      </w:pPr>
      <w:r>
        <w:rPr>
          <w:rFonts w:ascii="Garamond" w:hAnsi="Garamond"/>
          <w:b/>
          <w:i w:val="0"/>
          <w:color w:val="1A1A2E"/>
          <w:sz w:val="24"/>
        </w:rPr>
        <w:t>Messaging Hierarchy by Audience</w:t>
      </w:r>
    </w:p>
    <w:p>
      <w:pPr>
        <w:spacing w:before="40" w:after="40"/>
        <w:pBdr>
          <w:bottom w:val="single" w:sz="8" w:space="1" w:color="6B6B6B"/>
        </w:pBdr>
      </w:pP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Board of Directors: Emphasis on risk, capital stewardship, long-term value; numerical precision required; no rounding above $1M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Institutional Investors / Analysts: Emphasis on earnings quality, free cash flow, leverage trajectory; forward-looking statements require IR/Legal pre-clearance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Retail Investors: Plain English, no jargon; emphasize stability and brand strength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All-Hands / Employees: Emphasize team achievement; avoid specific financial figures not already public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Media: Refer all financial queries to IR; approved statements vetted by Legal and IR before distribution</w:t>
      </w:r>
    </w:p>
    <w:p>
      <w:pPr>
        <w:spacing w:before="160" w:after="80"/>
      </w:pPr>
      <w:r>
        <w:rPr>
          <w:rFonts w:ascii="Garamond" w:hAnsi="Garamond"/>
          <w:b/>
          <w:i w:val="0"/>
          <w:color w:val="1A1A2E"/>
          <w:sz w:val="24"/>
        </w:rPr>
        <w:t>Key Messages FY2025</w:t>
      </w:r>
    </w:p>
    <w:p>
      <w:pPr>
        <w:spacing w:before="40" w:after="40"/>
        <w:pBdr>
          <w:bottom w:val="single" w:sz="8" w:space="1" w:color="6B6B6B"/>
        </w:pBdr>
      </w:pP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Wynn delivered record revenue and EBITDA in FY2024 on the strength of our brand and team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We are deleveraging toward 3.0x target while investing in property improvements our guests and regulatory obligations require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FY2025 guidance reflects confidence in durability of Las Vegas demand and operational discipline</w:t>
      </w:r>
    </w:p>
    <w:p>
      <w:pPr>
        <w:spacing w:before="160" w:after="80"/>
      </w:pPr>
      <w:r>
        <w:rPr>
          <w:rFonts w:ascii="Garamond" w:hAnsi="Garamond"/>
          <w:b/>
          <w:i w:val="0"/>
          <w:color w:val="1A1A2E"/>
          <w:sz w:val="24"/>
        </w:rPr>
        <w:t>Things to Avoid</w:t>
      </w:r>
    </w:p>
    <w:p>
      <w:pPr>
        <w:spacing w:before="40" w:after="40"/>
        <w:pBdr>
          <w:bottom w:val="single" w:sz="8" w:space="1" w:color="6B6B6B"/>
        </w:pBdr>
      </w:pP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Never reference specific competitor financials or guidance in any external communication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Never confirm, deny, or speculate about M&amp;A activity in any forum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Never provide guidance outside of earnings calls or approved investor day materials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Never reference pending regulatory or legal matters beyond what is disclosed in SEC filings</w:t>
      </w:r>
    </w:p>
    <w:sectPr w:rsidR="00FC693F" w:rsidRPr="0006063C" w:rsidSect="00034616">
      <w:footerReference w:type="default" r:id="rId10"/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b w:val="0"/>
        <w:i/>
        <w:color w:val="6B6B6B"/>
        <w:sz w:val="15"/>
      </w:rPr>
      <w:t>Wynn Resorts, Limited  |  Strictly Confidential  |  03-cfo-communication-style-guide.docx  |  Do not distribute without authorization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