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Enterprise Risk Management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Enterprise Risk Register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Review Cycle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Quarterly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Risk Officer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Enterprise Risk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ID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Description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Likelihood (1-5)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Impact (1-5)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Score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Owner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Baccarat hold normalization reduces casino revenue $40-70M vs FY2024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Scenario models; revenue diversification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Nevada Gaming Control Board imposes operational restrictions following examination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Proactive compliance program; government affairs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Ransomware attack disrupts casino operations and guest data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 EDR; IR retainer; cyber insurance $50M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Key F&amp;B supplier failure causing service disruption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Dual-source policy; 30-day inventory buffer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Interest rate increase of 100bps adds $12M to annual interest expense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60% fixed rate hedging through 2027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 / Treasurer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Reputational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High-profile incident involving VIP guest generates adverse media coverage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Crisis communications plan; PR retainer; legal protocols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 / CLO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Financial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Macroeconomic recession reduces Las Vegas visitation and gaming volumes 10-15%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Flexible cost structure; cash reserves; credit facility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 enforcement action from FinCEN related to prior-period reporting gaps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Remediation completed Q1 2025; independent validation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 / CCO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ERM-009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Construction cost overrun on gaming floor modernization exceeds contingency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10% contingency reserve; weekly project tracking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 / CFO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ERM-010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failure causes financial reporting delay and SEC filing risk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Redundant system architecture; DR plan tested annually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 / CFO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ERM-011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People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Loss of 3+ senior executives within 12-month period disrupts strategic execution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Succession plans for all C-suite roles; retention program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 / CHRO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ERM-012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Environmental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Extreme weather event causes property damage at Las Vegas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Property insurance $2.1B limit; BCP tested annually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 / CFO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01-enterprise-risk-register-q1-2025.docx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