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 | Financial Planning &amp; Analysis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FY2025 Scenario Planning and Sensitivity Analysis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Base Case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Model Owner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FP&amp;A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Scenarios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 (Bear / Base / Bull)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Model Tool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Anaplan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Scenario Financial Summary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Bear Case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Base Case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Bull Case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Revenue ($M)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2,187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2,395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2,542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YoY Revenue Growth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(5.3%)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+3.7%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+10.0%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 ($M)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641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757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842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 Margin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29.3%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31.6%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33.1%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Free Cash Flow ($M)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187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342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478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Debt / EBITDA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3.8x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3.2x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2.7x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DSCR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1.42x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1.78x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2.14x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Covenant Threshold (DSCR)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1.25x minimum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1.25x minimum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1.25x minimum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Key Assumptions by Scenario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Bear Case: Baccarat hold reverts to 13.5%; US consumer confidence falls 12 points; RevPAR flat YoY; energy costs +8% vs budget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Base Case: Baccarat hold 15.0%; Las Vegas RevPAR growth 3.2%; Boston RevPAR flat; two new F&amp;B concepts contribute from Q3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Bull Case: Baccarat hold 16.5%; convention business reaches record high; both properties achieve +5% ADR vs budget; slot handle +6% from floor modernization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Financial Implications &amp; Triggers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Bear Case DSCR of 1.42x remains above 1.25x covenant minimum; however 200bps further deterioration would trigger covenant breach requiring lender notification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If Q1 2025 actuals track 8% or more below Bear Case revenue, CFO will convene emergency review of discretionary CAPEX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Bull Case free cash flow of $478M would enable $200M additional debt reduction and potential resumption of capital returns program at Q3 Board meeting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03-scenario-planning-sensitivity-analysis-fy2025.docx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